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5E53" w:rsidRDefault="002C5E53">
      <w:pPr>
        <w:pStyle w:val="Standard"/>
        <w:spacing w:before="240"/>
        <w:rPr>
          <w:rFonts w:ascii="Arial" w:eastAsia="Times New Roman" w:hAnsi="Arial" w:cs="Arial"/>
          <w:sz w:val="24"/>
        </w:rPr>
      </w:pPr>
    </w:p>
    <w:p w:rsidR="00C80D01" w:rsidRPr="00C80D01" w:rsidRDefault="00C80D01" w:rsidP="00714EED">
      <w:pPr>
        <w:jc w:val="center"/>
        <w:rPr>
          <w:rFonts w:ascii="Arial" w:eastAsia="Times New Roman" w:hAnsi="Arial" w:cs="Arial"/>
          <w:color w:val="000000"/>
          <w:lang w:eastAsia="ar-SA"/>
        </w:rPr>
      </w:pPr>
      <w:r w:rsidRPr="00C80D01">
        <w:rPr>
          <w:rFonts w:ascii="Arial" w:eastAsia="Times New Roman" w:hAnsi="Arial" w:cs="Arial"/>
          <w:b/>
          <w:color w:val="000000"/>
          <w:lang w:eastAsia="ar-SA"/>
        </w:rPr>
        <w:t>NOTA TÉCNICA</w:t>
      </w:r>
    </w:p>
    <w:p w:rsidR="00C80D01" w:rsidRPr="00C80D01" w:rsidRDefault="00C80D01" w:rsidP="00C80D01">
      <w:pPr>
        <w:jc w:val="both"/>
        <w:rPr>
          <w:rFonts w:ascii="Arial" w:eastAsia="Times New Roman" w:hAnsi="Arial" w:cs="Arial"/>
          <w:color w:val="000000"/>
          <w:lang w:eastAsia="ar-SA"/>
        </w:rPr>
      </w:pPr>
    </w:p>
    <w:p w:rsidR="00C80D01" w:rsidRPr="00714EED" w:rsidRDefault="00C80D01" w:rsidP="00C80D01">
      <w:pPr>
        <w:jc w:val="center"/>
        <w:rPr>
          <w:rFonts w:ascii="Arial" w:eastAsia="Times New Roman" w:hAnsi="Arial" w:cs="Arial"/>
          <w:b/>
          <w:caps/>
          <w:color w:val="000000"/>
          <w:kern w:val="24"/>
          <w:lang w:eastAsia="ar-SA"/>
        </w:rPr>
      </w:pPr>
      <w:r w:rsidRPr="00714EED">
        <w:rPr>
          <w:rFonts w:ascii="Arial" w:eastAsia="Times New Roman" w:hAnsi="Arial" w:cs="Arial"/>
          <w:b/>
          <w:caps/>
          <w:color w:val="000000"/>
          <w:kern w:val="24"/>
          <w:lang w:eastAsia="ar-SA"/>
        </w:rPr>
        <w:t>Orçamento público e medidas de prevenção de homicídios na adolescência</w:t>
      </w:r>
    </w:p>
    <w:p w:rsidR="00C80D01" w:rsidRPr="00C80D01" w:rsidRDefault="00C80D01" w:rsidP="00C80D01">
      <w:pPr>
        <w:jc w:val="both"/>
        <w:rPr>
          <w:rFonts w:ascii="Arial" w:eastAsia="Times New Roman" w:hAnsi="Arial" w:cs="Arial"/>
          <w:color w:val="000000"/>
          <w:lang w:eastAsia="ar-SA"/>
        </w:rPr>
      </w:pPr>
    </w:p>
    <w:p w:rsidR="00C80D01" w:rsidRPr="00C80D01" w:rsidRDefault="00C80D01" w:rsidP="00C80D01">
      <w:pPr>
        <w:jc w:val="both"/>
        <w:rPr>
          <w:rFonts w:ascii="Arial" w:eastAsia="Times New Roman" w:hAnsi="Arial" w:cs="Arial"/>
          <w:color w:val="000000"/>
          <w:lang w:eastAsia="ar-SA"/>
        </w:rPr>
      </w:pPr>
    </w:p>
    <w:p w:rsidR="00C80D01" w:rsidRDefault="00C80D01" w:rsidP="00C80D01">
      <w:pPr>
        <w:jc w:val="both"/>
        <w:rPr>
          <w:rFonts w:ascii="Arial" w:eastAsia="Times New Roman" w:hAnsi="Arial" w:cs="Arial"/>
          <w:color w:val="000000"/>
          <w:lang w:eastAsia="ar-SA"/>
        </w:rPr>
      </w:pPr>
    </w:p>
    <w:p w:rsidR="00714EED" w:rsidRDefault="00714EED" w:rsidP="00C80D01">
      <w:pPr>
        <w:jc w:val="both"/>
        <w:rPr>
          <w:rFonts w:ascii="Arial" w:eastAsia="Times New Roman" w:hAnsi="Arial" w:cs="Arial"/>
          <w:color w:val="000000"/>
          <w:lang w:eastAsia="ar-SA"/>
        </w:rPr>
      </w:pPr>
    </w:p>
    <w:p w:rsidR="00714EED" w:rsidRDefault="00714EED" w:rsidP="00C80D01">
      <w:pPr>
        <w:jc w:val="both"/>
        <w:rPr>
          <w:rFonts w:ascii="Arial" w:eastAsia="Times New Roman" w:hAnsi="Arial" w:cs="Arial"/>
          <w:color w:val="000000"/>
          <w:lang w:eastAsia="ar-SA"/>
        </w:rPr>
      </w:pPr>
    </w:p>
    <w:p w:rsidR="00714EED" w:rsidRPr="00C80D01" w:rsidRDefault="00714EED" w:rsidP="00C80D01">
      <w:pPr>
        <w:jc w:val="both"/>
        <w:rPr>
          <w:rFonts w:ascii="Arial" w:eastAsia="Times New Roman" w:hAnsi="Arial" w:cs="Arial"/>
          <w:color w:val="000000"/>
          <w:lang w:eastAsia="ar-SA"/>
        </w:rPr>
      </w:pPr>
    </w:p>
    <w:p w:rsidR="00C80D01" w:rsidRPr="00C80D01" w:rsidRDefault="00C80D01" w:rsidP="00C80D01">
      <w:pPr>
        <w:jc w:val="both"/>
        <w:rPr>
          <w:rFonts w:ascii="Arial" w:eastAsia="Times New Roman" w:hAnsi="Arial" w:cs="Arial"/>
          <w:color w:val="000000"/>
          <w:lang w:eastAsia="ar-SA"/>
        </w:rPr>
      </w:pPr>
      <w:r w:rsidRPr="00C80D01">
        <w:rPr>
          <w:rFonts w:ascii="Arial" w:eastAsia="Times New Roman" w:hAnsi="Arial" w:cs="Arial"/>
          <w:color w:val="000000"/>
          <w:lang w:eastAsia="ar-SA"/>
        </w:rPr>
        <w:t xml:space="preserve">INTRODUÇÃO: O Relatório do Primeiro Semestre de 2017 do Comitê Cearense Pela Prevenção de Homicídios na Adolescência foi apresentado ao plenário da Câmara Municipal de Fortaleza em setembro de 2017, para atender requerimento do Vereador Guilherme Sampaio, do Partido dos Trabalhadores. </w:t>
      </w:r>
    </w:p>
    <w:p w:rsidR="00C80D01" w:rsidRDefault="00C80D01" w:rsidP="00C80D01">
      <w:pPr>
        <w:jc w:val="both"/>
        <w:rPr>
          <w:rFonts w:ascii="Arial" w:eastAsia="Times New Roman" w:hAnsi="Arial" w:cs="Arial"/>
          <w:color w:val="000000"/>
          <w:lang w:eastAsia="ar-SA"/>
        </w:rPr>
      </w:pPr>
    </w:p>
    <w:p w:rsidR="00C80D01" w:rsidRDefault="00C80D01" w:rsidP="00C80D01">
      <w:pPr>
        <w:jc w:val="both"/>
        <w:rPr>
          <w:rFonts w:ascii="Arial" w:eastAsia="Times New Roman" w:hAnsi="Arial" w:cs="Arial"/>
          <w:color w:val="000000"/>
          <w:lang w:eastAsia="ar-SA"/>
        </w:rPr>
      </w:pPr>
      <w:r w:rsidRPr="00C80D01">
        <w:rPr>
          <w:rFonts w:ascii="Arial" w:eastAsia="Times New Roman" w:hAnsi="Arial" w:cs="Arial"/>
          <w:color w:val="000000"/>
          <w:lang w:eastAsia="ar-SA"/>
        </w:rPr>
        <w:t>A referência nos princípios da República de direito à vida, à dignidade e à segurança, o conjunto normativo brasileiro de proteção geracional de crianças e adolescentes e os dados resultantes do Relatório que colocam a cidade de Fortaleza no topo das estatísticas de assassinatos de adolescentes, justificaram o requerimento para a apresentação ao Legislativo Municipal e igualmente a proposição de previsão orçamentária, através de emendas, de recursos destinados à implantação de medidas de prevenção.</w:t>
      </w:r>
    </w:p>
    <w:p w:rsidR="00C80D01" w:rsidRPr="00C80D01" w:rsidRDefault="00C80D01" w:rsidP="00C80D01">
      <w:pPr>
        <w:jc w:val="both"/>
        <w:rPr>
          <w:rFonts w:ascii="Arial" w:eastAsia="Times New Roman" w:hAnsi="Arial" w:cs="Arial"/>
          <w:color w:val="000000"/>
          <w:lang w:eastAsia="ar-SA"/>
        </w:rPr>
      </w:pPr>
    </w:p>
    <w:p w:rsidR="00C80D01" w:rsidRPr="00C80D01" w:rsidRDefault="00C80D01" w:rsidP="00C80D01">
      <w:pPr>
        <w:pStyle w:val="ListParagraph"/>
        <w:numPr>
          <w:ilvl w:val="0"/>
          <w:numId w:val="2"/>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A Responsabilidade do Poder Público Municipal na Prevenção de Homicídios contra Adolescentes.</w:t>
      </w:r>
    </w:p>
    <w:p w:rsidR="00C80D01" w:rsidRPr="00C80D01" w:rsidRDefault="00C80D01" w:rsidP="00C80D01">
      <w:pPr>
        <w:pStyle w:val="ListParagraph"/>
        <w:jc w:val="both"/>
        <w:rPr>
          <w:rFonts w:ascii="Arial" w:eastAsia="Times New Roman" w:hAnsi="Arial" w:cs="Arial"/>
          <w:color w:val="000000"/>
          <w:kern w:val="1"/>
          <w:sz w:val="24"/>
          <w:szCs w:val="24"/>
          <w:lang w:eastAsia="ar-SA" w:bidi="hi-IN"/>
        </w:rPr>
      </w:pPr>
    </w:p>
    <w:p w:rsidR="00C80D01" w:rsidRPr="00C80D01" w:rsidRDefault="00C80D01" w:rsidP="00C80D01">
      <w:pPr>
        <w:pStyle w:val="ListParagraph"/>
        <w:ind w:left="0" w:firstLine="720"/>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A Constituição Federal de 1988 e o Pacto Federativo conferem aos Municípios o reconhecimento de autonomia e a atribuição de corresponsabilidade pelas garantias e direitos sociais frente aos cidadãos, em proporções muitas vezes igualitárias às da União e dos Estados, embora alguns setores tenham repartição de competências bem definidas, a exemplo da política de segurança pública, concentrada nos Estados, com pouca reserva para os entes municipais.</w:t>
      </w:r>
    </w:p>
    <w:p w:rsidR="00C80D01" w:rsidRDefault="00C80D01" w:rsidP="00C80D01">
      <w:pPr>
        <w:pStyle w:val="ListParagraph"/>
        <w:ind w:left="0" w:firstLine="720"/>
        <w:jc w:val="both"/>
        <w:rPr>
          <w:rFonts w:ascii="Arial" w:eastAsia="Times New Roman" w:hAnsi="Arial" w:cs="Arial"/>
          <w:color w:val="000000"/>
          <w:kern w:val="1"/>
          <w:sz w:val="24"/>
          <w:szCs w:val="24"/>
          <w:lang w:eastAsia="ar-SA" w:bidi="hi-IN"/>
        </w:rPr>
      </w:pPr>
    </w:p>
    <w:p w:rsidR="00C80D01" w:rsidRPr="00C80D01" w:rsidRDefault="00C80D01" w:rsidP="00C80D01">
      <w:pPr>
        <w:pStyle w:val="ListParagraph"/>
        <w:ind w:left="0" w:firstLine="720"/>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lastRenderedPageBreak/>
        <w:t>Inobstante os riscos de concepções conservadores entenderem que os homicídios de adolescentes se vinculariam exclusivamente aos aspectos criminológicos e, portanto serem tratados como questões próprias da política de segurança pública, há que se destacar a compreensão social de que este fenômeno se abriga sobre um escopo de causas e efeitos muito mais abrangentes e incapazes de serem alcançados e solucionados pela mera ação policial ou judiciária.</w:t>
      </w:r>
    </w:p>
    <w:p w:rsidR="00C80D01" w:rsidRDefault="00C80D01" w:rsidP="00C80D01">
      <w:pPr>
        <w:pStyle w:val="ListParagraph"/>
        <w:ind w:left="0" w:firstLine="720"/>
        <w:jc w:val="both"/>
        <w:rPr>
          <w:rFonts w:ascii="Arial" w:eastAsia="Times New Roman" w:hAnsi="Arial" w:cs="Arial"/>
          <w:color w:val="000000"/>
          <w:kern w:val="1"/>
          <w:sz w:val="24"/>
          <w:szCs w:val="24"/>
          <w:lang w:eastAsia="ar-SA" w:bidi="hi-IN"/>
        </w:rPr>
      </w:pPr>
    </w:p>
    <w:p w:rsidR="00C80D01" w:rsidRPr="00C80D01" w:rsidRDefault="00C80D01" w:rsidP="00C80D01">
      <w:pPr>
        <w:pStyle w:val="ListParagraph"/>
        <w:ind w:left="0" w:firstLine="720"/>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 xml:space="preserve">O Relatório do Primeiro Semestre de 2017 do Comitê Cearense de Homicídios  na Adolescência apresenta uma rede complexa de conexões que culminam no assassinato, entre elas a vulnerabilidade sócio familiar, a inacessibilidade de serviços e políticas públicas, inclusive a educacional (pela evasão escolar), a sociabilidade comunitária e afetiva com outros indivíduos ou grupos de indivíduos em situação de risco de vitimização e o território ou espaço geográfico de moradia dos adolescentes. Nesse sentido, o diagnóstico é seguido por uma série de medidas apontadas como preventivas, nas quais se inserem as competências municipais, por tangenciarem a vida e as relações da e na cidade. </w:t>
      </w:r>
    </w:p>
    <w:p w:rsidR="00C80D01" w:rsidRPr="00C80D01" w:rsidRDefault="00C80D01" w:rsidP="00C80D01">
      <w:pPr>
        <w:pStyle w:val="ListParagraph"/>
        <w:ind w:left="0" w:firstLine="720"/>
        <w:jc w:val="both"/>
        <w:rPr>
          <w:rFonts w:ascii="Arial" w:eastAsia="Times New Roman" w:hAnsi="Arial" w:cs="Arial"/>
          <w:color w:val="000000"/>
          <w:kern w:val="1"/>
          <w:sz w:val="24"/>
          <w:szCs w:val="24"/>
          <w:lang w:eastAsia="ar-SA" w:bidi="hi-IN"/>
        </w:rPr>
      </w:pPr>
    </w:p>
    <w:p w:rsidR="00C80D01" w:rsidRPr="00C80D01" w:rsidRDefault="00C80D01" w:rsidP="00C80D01">
      <w:pPr>
        <w:pStyle w:val="ListParagraph"/>
        <w:numPr>
          <w:ilvl w:val="1"/>
          <w:numId w:val="2"/>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 xml:space="preserve"> Plano Plurianual de Fortaleza e Lei Orçamentária Anual – Instâncias de comprometimento municipal com a Prevenção de Homicídios na Adolescência. </w:t>
      </w:r>
    </w:p>
    <w:p w:rsidR="00C80D01" w:rsidRDefault="00C80D01" w:rsidP="00C80D01">
      <w:pPr>
        <w:ind w:firstLine="595"/>
        <w:jc w:val="both"/>
        <w:rPr>
          <w:rFonts w:ascii="Arial" w:eastAsia="Times New Roman" w:hAnsi="Arial" w:cs="Arial"/>
          <w:color w:val="000000"/>
          <w:lang w:eastAsia="ar-SA"/>
        </w:rPr>
      </w:pPr>
      <w:r w:rsidRPr="00C80D01">
        <w:rPr>
          <w:rFonts w:ascii="Arial" w:eastAsia="Times New Roman" w:hAnsi="Arial" w:cs="Arial"/>
          <w:color w:val="000000"/>
          <w:lang w:eastAsia="ar-SA"/>
        </w:rPr>
        <w:t xml:space="preserve">O reconhecimento da responsabilidade municipal sobre as medidas de prevenção de homicídios na adolescência implica, necessariamente, na criação de programa específico no respectivo Plano Plurianual e na </w:t>
      </w:r>
      <w:proofErr w:type="spellStart"/>
      <w:r w:rsidRPr="00C80D01">
        <w:rPr>
          <w:rFonts w:ascii="Arial" w:eastAsia="Times New Roman" w:hAnsi="Arial" w:cs="Arial"/>
          <w:color w:val="000000"/>
          <w:lang w:eastAsia="ar-SA"/>
        </w:rPr>
        <w:t>conseqüente</w:t>
      </w:r>
      <w:proofErr w:type="spellEnd"/>
      <w:r w:rsidRPr="00C80D01">
        <w:rPr>
          <w:rFonts w:ascii="Arial" w:eastAsia="Times New Roman" w:hAnsi="Arial" w:cs="Arial"/>
          <w:color w:val="000000"/>
          <w:lang w:eastAsia="ar-SA"/>
        </w:rPr>
        <w:t xml:space="preserve"> previsão orçamentária de despesas com essa finalidade. Nesse sentido, a Câmara Municipal de Fortaleza aprovou proposições de emendas ao Projeto do Executivo para criação do Programa denominado CADA VIDA IMPORTA, tomando de empréstimo o slogan do Relatório, com as seguintes ações para o período 2018 – 2021:</w:t>
      </w:r>
    </w:p>
    <w:p w:rsidR="00C80D01" w:rsidRPr="00C80D01" w:rsidRDefault="00C80D01" w:rsidP="00C80D01">
      <w:pPr>
        <w:ind w:firstLine="595"/>
        <w:jc w:val="both"/>
        <w:rPr>
          <w:rFonts w:ascii="Arial" w:eastAsia="Times New Roman" w:hAnsi="Arial" w:cs="Arial"/>
          <w:color w:val="000000"/>
          <w:lang w:eastAsia="ar-SA"/>
        </w:rPr>
      </w:pPr>
    </w:p>
    <w:p w:rsidR="00C80D01" w:rsidRPr="00C80D01" w:rsidRDefault="00C80D01" w:rsidP="00C80D01">
      <w:pPr>
        <w:pStyle w:val="ListParagraph"/>
        <w:numPr>
          <w:ilvl w:val="0"/>
          <w:numId w:val="3"/>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Realização de Parcerias com Organizações da Sociedade Civil para Desenvolver Ações de Redução de Homicídios Adolescentes;</w:t>
      </w:r>
    </w:p>
    <w:p w:rsidR="00C80D01" w:rsidRPr="00C80D01" w:rsidRDefault="00C80D01" w:rsidP="00C80D01">
      <w:pPr>
        <w:pStyle w:val="ListParagraph"/>
        <w:numPr>
          <w:ilvl w:val="0"/>
          <w:numId w:val="3"/>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Implantação de Centro de Atendimento para Adolescente Adicto;</w:t>
      </w:r>
    </w:p>
    <w:p w:rsidR="00C80D01" w:rsidRPr="00C80D01" w:rsidRDefault="00C80D01" w:rsidP="00C80D01">
      <w:pPr>
        <w:pStyle w:val="ListParagraph"/>
        <w:numPr>
          <w:ilvl w:val="0"/>
          <w:numId w:val="3"/>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Implantação da Casa Abrigo destinada à Adolescentes Ameaçados;</w:t>
      </w:r>
    </w:p>
    <w:p w:rsidR="00C80D01" w:rsidRPr="00C80D01" w:rsidRDefault="00C80D01" w:rsidP="00C80D01">
      <w:pPr>
        <w:pStyle w:val="ListParagraph"/>
        <w:numPr>
          <w:ilvl w:val="0"/>
          <w:numId w:val="3"/>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t>Realização de Atendimento Psicossocial aos Familiares Vítimas de Violência por Homicídio;</w:t>
      </w:r>
    </w:p>
    <w:p w:rsidR="00C80D01" w:rsidRPr="00C80D01" w:rsidRDefault="00C80D01" w:rsidP="00C80D01">
      <w:pPr>
        <w:pStyle w:val="ListParagraph"/>
        <w:numPr>
          <w:ilvl w:val="0"/>
          <w:numId w:val="3"/>
        </w:numPr>
        <w:jc w:val="both"/>
        <w:rPr>
          <w:rFonts w:ascii="Arial" w:eastAsia="Times New Roman" w:hAnsi="Arial" w:cs="Arial"/>
          <w:color w:val="000000"/>
          <w:kern w:val="1"/>
          <w:sz w:val="24"/>
          <w:szCs w:val="24"/>
          <w:lang w:eastAsia="ar-SA" w:bidi="hi-IN"/>
        </w:rPr>
      </w:pPr>
      <w:r w:rsidRPr="00C80D01">
        <w:rPr>
          <w:rFonts w:ascii="Arial" w:eastAsia="Times New Roman" w:hAnsi="Arial" w:cs="Arial"/>
          <w:color w:val="000000"/>
          <w:kern w:val="1"/>
          <w:sz w:val="24"/>
          <w:szCs w:val="24"/>
          <w:lang w:eastAsia="ar-SA" w:bidi="hi-IN"/>
        </w:rPr>
        <w:lastRenderedPageBreak/>
        <w:t>Desenvolvimento do Serviço de Acompanhamento Comunitário de Medidas Socioeducativas em Meio Aberto, em Parceria com a Sociedade Civil.</w:t>
      </w:r>
    </w:p>
    <w:p w:rsidR="00C80D01" w:rsidRPr="00C80D01" w:rsidRDefault="00C80D01" w:rsidP="00C80D01">
      <w:pPr>
        <w:ind w:firstLine="708"/>
        <w:jc w:val="both"/>
        <w:rPr>
          <w:rFonts w:ascii="Arial" w:eastAsia="Times New Roman" w:hAnsi="Arial" w:cs="Arial"/>
          <w:color w:val="000000"/>
          <w:lang w:eastAsia="ar-SA"/>
        </w:rPr>
      </w:pPr>
      <w:r w:rsidRPr="00C80D01">
        <w:rPr>
          <w:rFonts w:ascii="Arial" w:eastAsia="Times New Roman" w:hAnsi="Arial" w:cs="Arial"/>
          <w:color w:val="000000"/>
          <w:lang w:eastAsia="ar-SA"/>
        </w:rPr>
        <w:t xml:space="preserve">A criação do Programa no PPA permite as previsões orçamentárias futuras para o período de 2018-2021, permitindo com isso a atuação municipal para a prevenção dos homicídios, na perspectiva de estabelecer uma rede de serviços como políticas públicas de proteção aos adolescentes. </w:t>
      </w: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ANEXO 1 – EMENDA ADITIVA</w:t>
      </w:r>
    </w:p>
    <w:p w:rsidR="00C80D01" w:rsidRDefault="00C80D01">
      <w:pPr>
        <w:pStyle w:val="Standard"/>
        <w:spacing w:before="240"/>
        <w:rPr>
          <w:rFonts w:ascii="Arial" w:eastAsia="Times New Roman" w:hAnsi="Arial" w:cs="Arial"/>
          <w:sz w:val="24"/>
        </w:rPr>
      </w:pPr>
    </w:p>
    <w:p w:rsidR="00C80D01" w:rsidRDefault="00C80D01">
      <w:pPr>
        <w:pStyle w:val="Standard"/>
        <w:spacing w:before="240"/>
        <w:rPr>
          <w:rFonts w:ascii="Arial" w:eastAsia="Times New Roman" w:hAnsi="Arial" w:cs="Arial"/>
          <w:sz w:val="24"/>
        </w:rPr>
      </w:pPr>
    </w:p>
    <w:p w:rsidR="002C5E53" w:rsidRDefault="002C5E53" w:rsidP="002C5E53">
      <w:pPr>
        <w:pStyle w:val="Standard"/>
        <w:spacing w:before="240"/>
        <w:jc w:val="center"/>
        <w:rPr>
          <w:rFonts w:ascii="Arial" w:eastAsia="Times New Roman" w:hAnsi="Arial" w:cs="Arial"/>
          <w:sz w:val="24"/>
        </w:rPr>
      </w:pPr>
      <w:r>
        <w:rPr>
          <w:rFonts w:ascii="Arial" w:eastAsia="Times New Roman" w:hAnsi="Arial" w:cs="Arial"/>
          <w:sz w:val="24"/>
        </w:rPr>
        <w:t>GABINETE VEREADOR GUILHERME SAMPAIO</w:t>
      </w:r>
    </w:p>
    <w:p w:rsidR="002C5E53" w:rsidRDefault="002C5E53">
      <w:pPr>
        <w:pStyle w:val="Standard"/>
        <w:spacing w:before="240"/>
        <w:rPr>
          <w:rFonts w:ascii="Arial" w:eastAsia="Times New Roman" w:hAnsi="Arial" w:cs="Arial"/>
          <w:sz w:val="24"/>
        </w:rPr>
      </w:pPr>
    </w:p>
    <w:p w:rsidR="00BC0EB5" w:rsidRDefault="001F45E1" w:rsidP="002C5E53">
      <w:pPr>
        <w:pStyle w:val="Standard"/>
        <w:spacing w:before="240"/>
        <w:jc w:val="center"/>
      </w:pPr>
      <w:r>
        <w:rPr>
          <w:rFonts w:ascii="Arial" w:eastAsia="Times New Roman" w:hAnsi="Arial" w:cs="Arial"/>
          <w:sz w:val="24"/>
        </w:rPr>
        <w:t>EMENDA ADITIVA Nº</w:t>
      </w:r>
    </w:p>
    <w:p w:rsidR="002C5E53" w:rsidRDefault="002C5E53" w:rsidP="002C5E53">
      <w:pPr>
        <w:pStyle w:val="Standard"/>
        <w:spacing w:before="240"/>
        <w:jc w:val="center"/>
      </w:pPr>
      <w:r>
        <w:rPr>
          <w:rFonts w:ascii="Arial" w:eastAsia="Times New Roman" w:hAnsi="Arial" w:cs="Arial"/>
          <w:sz w:val="24"/>
        </w:rPr>
        <w:t>AO PROJETO DE LEI Nº 353/2017 (MENSAGEM Nº 29/2017)</w:t>
      </w:r>
    </w:p>
    <w:p w:rsidR="00BC0EB5" w:rsidRDefault="00BC0EB5" w:rsidP="002C5E53">
      <w:pPr>
        <w:pStyle w:val="Standard"/>
        <w:spacing w:before="240"/>
        <w:jc w:val="center"/>
      </w:pPr>
    </w:p>
    <w:p w:rsidR="00BC0EB5" w:rsidRDefault="002C5E53">
      <w:pPr>
        <w:pStyle w:val="Standard"/>
        <w:spacing w:before="240"/>
        <w:ind w:left="4248"/>
        <w:jc w:val="both"/>
      </w:pPr>
      <w:r>
        <w:rPr>
          <w:rFonts w:ascii="Arial" w:eastAsia="Arial" w:hAnsi="Arial" w:cs="Arial"/>
          <w:sz w:val="20"/>
          <w:szCs w:val="20"/>
        </w:rPr>
        <w:t xml:space="preserve"> </w:t>
      </w:r>
      <w:r w:rsidR="001F45E1">
        <w:rPr>
          <w:rFonts w:ascii="Arial" w:eastAsia="Arial" w:hAnsi="Arial" w:cs="Arial"/>
          <w:sz w:val="20"/>
          <w:szCs w:val="20"/>
        </w:rPr>
        <w:t xml:space="preserve">“Acrescenta redação ao Relatório II - Descritivo dos Programas de Governo por Eixo e Área Temática, ao Relatório V - Regionalização das Ações e Metas Físicas dos Programas Finalísticos, e ao Relatório VI - Regionalização das Ações e Metas Financeiras dos Programas Finalísticos, constantes no Volume II do PPA 2018-2021 </w:t>
      </w:r>
      <w:r w:rsidR="001F45E1">
        <w:rPr>
          <w:rFonts w:ascii="Arial" w:eastAsia="Times New Roman" w:hAnsi="Arial" w:cs="Arial"/>
          <w:sz w:val="20"/>
          <w:szCs w:val="20"/>
        </w:rPr>
        <w:t>do Projeto de Lei nº 353/2017, oriundo da Mensagem nº 29/2017.”</w:t>
      </w:r>
    </w:p>
    <w:p w:rsidR="002C5E53" w:rsidRDefault="002C5E53">
      <w:pPr>
        <w:suppressAutoHyphens w:val="0"/>
        <w:spacing w:before="240" w:after="200"/>
        <w:jc w:val="both"/>
        <w:textAlignment w:val="auto"/>
        <w:rPr>
          <w:rFonts w:ascii="Arial" w:eastAsia="Times New Roman" w:hAnsi="Arial" w:cs="Arial"/>
          <w:lang w:eastAsia="pt-BR" w:bidi="ar-SA"/>
        </w:rPr>
      </w:pPr>
    </w:p>
    <w:p w:rsidR="00714EED" w:rsidRDefault="00714EED">
      <w:pPr>
        <w:suppressAutoHyphens w:val="0"/>
        <w:spacing w:before="240" w:after="200"/>
        <w:jc w:val="both"/>
        <w:textAlignment w:val="auto"/>
        <w:rPr>
          <w:rFonts w:ascii="Arial" w:eastAsia="Times New Roman" w:hAnsi="Arial" w:cs="Arial"/>
          <w:lang w:eastAsia="pt-BR" w:bidi="ar-SA"/>
        </w:rPr>
      </w:pPr>
    </w:p>
    <w:p w:rsidR="00714EED" w:rsidRDefault="00714EED">
      <w:pPr>
        <w:suppressAutoHyphens w:val="0"/>
        <w:spacing w:before="240" w:after="200"/>
        <w:jc w:val="both"/>
        <w:textAlignment w:val="auto"/>
        <w:rPr>
          <w:rFonts w:ascii="Arial" w:eastAsia="Times New Roman" w:hAnsi="Arial" w:cs="Arial"/>
          <w:lang w:eastAsia="pt-BR" w:bidi="ar-SA"/>
        </w:rPr>
      </w:pPr>
    </w:p>
    <w:p w:rsidR="00714EED" w:rsidRDefault="00714EED">
      <w:pPr>
        <w:suppressAutoHyphens w:val="0"/>
        <w:spacing w:before="240" w:after="200"/>
        <w:jc w:val="both"/>
        <w:textAlignment w:val="auto"/>
        <w:rPr>
          <w:rFonts w:ascii="Arial" w:eastAsia="Times New Roman" w:hAnsi="Arial" w:cs="Arial"/>
          <w:lang w:eastAsia="pt-BR" w:bidi="ar-SA"/>
        </w:rPr>
      </w:pPr>
    </w:p>
    <w:p w:rsidR="002C5E53" w:rsidRPr="004D2371" w:rsidRDefault="002C5E53" w:rsidP="002C5E53">
      <w:pPr>
        <w:pStyle w:val="yiv3548550603msonormal"/>
        <w:jc w:val="center"/>
        <w:rPr>
          <w:rFonts w:ascii="Arial" w:hAnsi="Arial" w:cs="Arial"/>
          <w:b/>
        </w:rPr>
      </w:pPr>
      <w:r w:rsidRPr="004D2371">
        <w:rPr>
          <w:rFonts w:ascii="Arial" w:hAnsi="Arial" w:cs="Arial"/>
          <w:b/>
        </w:rPr>
        <w:t>Excelentíssimo Senhor Presidente da Câmara Municipal de Fortaleza</w:t>
      </w:r>
    </w:p>
    <w:p w:rsidR="002C5E53" w:rsidRPr="004D2371" w:rsidRDefault="002C5E53" w:rsidP="002C5E53">
      <w:pPr>
        <w:pStyle w:val="Standard"/>
        <w:jc w:val="both"/>
        <w:rPr>
          <w:rFonts w:ascii="Arial" w:hAnsi="Arial" w:cs="Arial"/>
          <w:sz w:val="24"/>
        </w:rPr>
      </w:pPr>
    </w:p>
    <w:p w:rsidR="002C5E53" w:rsidRPr="004D2371" w:rsidRDefault="002C5E53" w:rsidP="002C5E53">
      <w:pPr>
        <w:pStyle w:val="yiv3548550603msonormal"/>
        <w:spacing w:line="360" w:lineRule="auto"/>
        <w:jc w:val="both"/>
        <w:rPr>
          <w:rFonts w:ascii="Arial" w:hAnsi="Arial" w:cs="Arial"/>
        </w:rPr>
      </w:pPr>
      <w:r w:rsidRPr="004D2371">
        <w:rPr>
          <w:rFonts w:ascii="Arial" w:hAnsi="Arial" w:cs="Arial"/>
        </w:rPr>
        <w:tab/>
        <w:t xml:space="preserve">O vereador signatário, no uso de suas atribuições e na forma regimental, propõe emenda aditiva ao Projeto de Lei nº 353/2017, acrescentando </w:t>
      </w:r>
      <w:r w:rsidRPr="004D2371">
        <w:rPr>
          <w:rFonts w:ascii="Arial" w:eastAsia="Arial" w:hAnsi="Arial" w:cs="Arial"/>
        </w:rPr>
        <w:t>redação ao Relatório II - Descritivo dos Programas de Governo por Eixo e Área Temática, ao Relatório V - Regionalização das Ações e Metas Físicas dos Programas Finalísticos, e ao Relatório VI - Regionalização das Ações e Metas Financeiras dos Programas Finalísticos, constantes no Volume II do PPA 2018-2021</w:t>
      </w:r>
      <w:r w:rsidR="004D2371" w:rsidRPr="004D2371">
        <w:rPr>
          <w:rFonts w:ascii="Arial" w:eastAsia="Arial" w:hAnsi="Arial" w:cs="Arial"/>
        </w:rPr>
        <w:t>.</w:t>
      </w:r>
    </w:p>
    <w:p w:rsidR="002C5E53" w:rsidRDefault="002C5E53">
      <w:pPr>
        <w:suppressAutoHyphens w:val="0"/>
        <w:spacing w:before="240" w:after="200"/>
        <w:jc w:val="both"/>
        <w:textAlignment w:val="auto"/>
        <w:rPr>
          <w:rFonts w:ascii="Arial" w:eastAsia="Times New Roman" w:hAnsi="Arial" w:cs="Arial"/>
          <w:lang w:eastAsia="pt-BR" w:bidi="ar-SA"/>
        </w:rPr>
      </w:pPr>
    </w:p>
    <w:p w:rsidR="002C5E53" w:rsidRDefault="002C5E53">
      <w:pPr>
        <w:suppressAutoHyphens w:val="0"/>
        <w:spacing w:before="240" w:after="200"/>
        <w:jc w:val="both"/>
        <w:textAlignment w:val="auto"/>
        <w:rPr>
          <w:rFonts w:ascii="Arial" w:eastAsia="Times New Roman" w:hAnsi="Arial" w:cs="Arial"/>
          <w:lang w:eastAsia="pt-BR" w:bidi="ar-SA"/>
        </w:rPr>
      </w:pPr>
    </w:p>
    <w:p w:rsidR="00BC0EB5" w:rsidRDefault="001F45E1">
      <w:pPr>
        <w:suppressAutoHyphens w:val="0"/>
        <w:spacing w:before="240" w:after="200"/>
        <w:jc w:val="both"/>
        <w:textAlignment w:val="auto"/>
      </w:pPr>
      <w:r>
        <w:rPr>
          <w:rFonts w:ascii="Arial" w:eastAsia="Times New Roman" w:hAnsi="Arial" w:cs="Arial"/>
          <w:lang w:eastAsia="pt-BR" w:bidi="ar-SA"/>
        </w:rPr>
        <w:t>A CÂMARA MUNICIPAL DE FORTALEZA APROVA:</w:t>
      </w:r>
    </w:p>
    <w:p w:rsidR="00BC0EB5" w:rsidRDefault="001F45E1">
      <w:pPr>
        <w:suppressAutoHyphens w:val="0"/>
        <w:spacing w:before="240" w:after="200"/>
        <w:jc w:val="both"/>
        <w:textAlignment w:val="auto"/>
        <w:rPr>
          <w:rFonts w:ascii="Arial" w:hAnsi="Arial" w:cs="Arial"/>
        </w:rPr>
      </w:pPr>
      <w:r>
        <w:rPr>
          <w:rFonts w:ascii="Arial" w:eastAsia="Times New Roman" w:hAnsi="Arial" w:cs="Arial"/>
          <w:b/>
          <w:bCs/>
          <w:lang w:eastAsia="pt-BR" w:bidi="ar-SA"/>
        </w:rPr>
        <w:t xml:space="preserve">Art. 1º. </w:t>
      </w:r>
      <w:r>
        <w:rPr>
          <w:rFonts w:ascii="Arial" w:eastAsia="Times New Roman" w:hAnsi="Arial" w:cs="Arial"/>
          <w:lang w:eastAsia="pt-BR" w:bidi="ar-SA"/>
        </w:rPr>
        <w:t xml:space="preserve">Fica adicionado o Programa </w:t>
      </w:r>
      <w:r>
        <w:rPr>
          <w:rFonts w:ascii="Arial" w:eastAsia="Arial" w:hAnsi="Arial" w:cs="Arial"/>
          <w:lang w:eastAsia="pt-BR" w:bidi="ar-SA"/>
        </w:rPr>
        <w:t>Cada Vida Importa ao Eixo III - Vida Comunit</w:t>
      </w:r>
      <w:r>
        <w:rPr>
          <w:rFonts w:ascii="Arial" w:hAnsi="Arial" w:cs="Arial"/>
        </w:rPr>
        <w:t>ária, Acolhimento e Bem-Estar do PPA 2018-2021, especificado a seguir:</w:t>
      </w:r>
    </w:p>
    <w:p w:rsidR="00714EED" w:rsidRDefault="00714EED">
      <w:pPr>
        <w:suppressAutoHyphens w:val="0"/>
        <w:spacing w:before="240" w:after="200"/>
        <w:jc w:val="both"/>
        <w:textAlignment w:val="auto"/>
        <w:rPr>
          <w:rFonts w:ascii="Arial" w:hAnsi="Arial" w:cs="Arial"/>
        </w:rPr>
      </w:pPr>
    </w:p>
    <w:p w:rsidR="00714EED" w:rsidRDefault="00714EED">
      <w:pPr>
        <w:suppressAutoHyphens w:val="0"/>
        <w:spacing w:before="240" w:after="200"/>
        <w:jc w:val="both"/>
        <w:textAlignment w:val="auto"/>
        <w:rPr>
          <w:rFonts w:ascii="Arial" w:hAnsi="Arial" w:cs="Arial"/>
        </w:rPr>
      </w:pPr>
    </w:p>
    <w:p w:rsidR="00714EED" w:rsidRDefault="00714EED">
      <w:pPr>
        <w:suppressAutoHyphens w:val="0"/>
        <w:spacing w:before="240" w:after="200"/>
        <w:jc w:val="both"/>
        <w:textAlignment w:val="auto"/>
        <w:rPr>
          <w:rFonts w:ascii="Arial" w:hAnsi="Arial" w:cs="Arial"/>
        </w:rPr>
      </w:pPr>
    </w:p>
    <w:p w:rsidR="00714EED" w:rsidRDefault="00714EED">
      <w:pPr>
        <w:suppressAutoHyphens w:val="0"/>
        <w:spacing w:before="240" w:after="200"/>
        <w:jc w:val="both"/>
        <w:textAlignment w:val="auto"/>
        <w:rPr>
          <w:rFonts w:ascii="Arial" w:hAnsi="Arial" w:cs="Arial"/>
        </w:rPr>
      </w:pPr>
    </w:p>
    <w:p w:rsidR="00714EED" w:rsidRDefault="00714EED">
      <w:pPr>
        <w:suppressAutoHyphens w:val="0"/>
        <w:spacing w:before="240" w:after="200"/>
        <w:jc w:val="both"/>
        <w:textAlignment w:val="auto"/>
      </w:pPr>
    </w:p>
    <w:p w:rsidR="00BC0EB5" w:rsidRDefault="001F45E1">
      <w:pPr>
        <w:shd w:val="clear" w:color="auto" w:fill="FFFFFF"/>
        <w:tabs>
          <w:tab w:val="left" w:pos="3757"/>
        </w:tabs>
      </w:pPr>
      <w:r>
        <w:rPr>
          <w:rFonts w:ascii="Arial" w:eastAsia="Times New Roman" w:hAnsi="Arial" w:cs="Arial"/>
          <w:b/>
          <w:bCs/>
          <w:lang w:eastAsia="pt-BR" w:bidi="ar-SA"/>
        </w:rPr>
        <w:t>Relatório II - Descritivo dos Programas de Governo por Eixo e Área Temática</w:t>
      </w:r>
    </w:p>
    <w:p w:rsidR="00BC0EB5" w:rsidRDefault="001F45E1">
      <w:pPr>
        <w:shd w:val="clear" w:color="auto" w:fill="FFFFFF"/>
        <w:tabs>
          <w:tab w:val="left" w:pos="3757"/>
        </w:tabs>
      </w:pPr>
      <w:r>
        <w:rPr>
          <w:rFonts w:ascii="Arial" w:eastAsia="Times New Roman" w:hAnsi="Arial" w:cs="Arial"/>
          <w:sz w:val="20"/>
          <w:szCs w:val="20"/>
          <w:lang w:eastAsia="pt-BR" w:bidi="ar-SA"/>
        </w:rPr>
        <w:t>_____________________________________________________________________________________________________________________</w:t>
      </w:r>
    </w:p>
    <w:p w:rsidR="00BC0EB5" w:rsidRDefault="001F45E1">
      <w:pPr>
        <w:shd w:val="clear" w:color="auto" w:fill="FFFFFF"/>
        <w:tabs>
          <w:tab w:val="left" w:pos="3757"/>
        </w:tabs>
      </w:pPr>
      <w:r>
        <w:rPr>
          <w:rFonts w:ascii="Arial" w:eastAsia="Times New Roman" w:hAnsi="Arial" w:cs="Arial"/>
          <w:b/>
          <w:bCs/>
          <w:sz w:val="20"/>
          <w:szCs w:val="20"/>
          <w:u w:val="single"/>
          <w:lang w:eastAsia="pt-BR" w:bidi="ar-SA"/>
        </w:rPr>
        <w:t>PROG.</w:t>
      </w:r>
      <w:r>
        <w:rPr>
          <w:rFonts w:ascii="Arial" w:eastAsia="Times New Roman" w:hAnsi="Arial" w:cs="Arial"/>
          <w:sz w:val="20"/>
          <w:szCs w:val="20"/>
          <w:lang w:eastAsia="pt-BR" w:bidi="ar-SA"/>
        </w:rPr>
        <w:t xml:space="preserve">       </w:t>
      </w:r>
      <w:r>
        <w:rPr>
          <w:rFonts w:ascii="Arial" w:eastAsia="Times New Roman" w:hAnsi="Arial" w:cs="Arial"/>
          <w:b/>
          <w:bCs/>
          <w:sz w:val="20"/>
          <w:szCs w:val="20"/>
          <w:u w:val="single"/>
          <w:lang w:eastAsia="pt-BR" w:bidi="ar-SA"/>
        </w:rPr>
        <w:t xml:space="preserve">DESCRIÇÃO DO PROGRAMA </w:t>
      </w:r>
    </w:p>
    <w:p w:rsidR="00BC0EB5" w:rsidRDefault="001F45E1">
      <w:pPr>
        <w:shd w:val="clear" w:color="auto" w:fill="FFFFFF"/>
        <w:tabs>
          <w:tab w:val="left" w:pos="3757"/>
        </w:tabs>
      </w:pPr>
      <w:r>
        <w:rPr>
          <w:rFonts w:ascii="Arial" w:eastAsia="Times New Roman" w:hAnsi="Arial" w:cs="Arial"/>
          <w:b/>
          <w:bCs/>
          <w:sz w:val="20"/>
          <w:szCs w:val="20"/>
          <w:u w:val="single"/>
          <w:lang w:eastAsia="pt-BR" w:bidi="ar-SA"/>
        </w:rPr>
        <w:t>________________________________________________________________________________________________________________________</w:t>
      </w:r>
    </w:p>
    <w:p w:rsidR="00BC0EB5" w:rsidRDefault="001F45E1">
      <w:pPr>
        <w:shd w:val="clear" w:color="auto" w:fill="FFFFFF"/>
        <w:tabs>
          <w:tab w:val="left" w:pos="3757"/>
        </w:tabs>
        <w:jc w:val="both"/>
      </w:pPr>
      <w:r>
        <w:rPr>
          <w:rFonts w:ascii="Arial" w:eastAsia="Times New Roman" w:hAnsi="Arial" w:cs="Arial"/>
          <w:b/>
          <w:bCs/>
          <w:sz w:val="20"/>
          <w:szCs w:val="20"/>
          <w:lang w:eastAsia="pt-BR" w:bidi="ar-SA"/>
        </w:rPr>
        <w:t>Eixo III - Vida Comunitária, Acolhimento e Bem-Estar</w:t>
      </w:r>
    </w:p>
    <w:p w:rsidR="00BC0EB5" w:rsidRDefault="00BC0EB5">
      <w:pPr>
        <w:rPr>
          <w:rFonts w:ascii="Arial" w:hAnsi="Arial" w:cs="Arial"/>
          <w:sz w:val="20"/>
          <w:szCs w:val="20"/>
        </w:rPr>
      </w:pPr>
    </w:p>
    <w:p w:rsidR="00BC0EB5" w:rsidRDefault="001F45E1">
      <w:r>
        <w:rPr>
          <w:rFonts w:ascii="Arial" w:hAnsi="Arial" w:cs="Arial"/>
          <w:sz w:val="20"/>
          <w:szCs w:val="20"/>
        </w:rPr>
        <w:tab/>
        <w:t>Direitos Humanos e Assistência Social</w:t>
      </w:r>
    </w:p>
    <w:p w:rsidR="00BC0EB5" w:rsidRDefault="001F45E1">
      <w:r>
        <w:rPr>
          <w:rFonts w:ascii="Arial" w:hAnsi="Arial" w:cs="Arial"/>
          <w:sz w:val="20"/>
          <w:szCs w:val="20"/>
        </w:rPr>
        <w:tab/>
      </w:r>
      <w:r>
        <w:rPr>
          <w:rFonts w:ascii="Arial" w:hAnsi="Arial" w:cs="Arial"/>
          <w:sz w:val="20"/>
          <w:szCs w:val="20"/>
        </w:rPr>
        <w:tab/>
      </w:r>
      <w:proofErr w:type="spellStart"/>
      <w:r>
        <w:rPr>
          <w:rFonts w:ascii="Arial" w:hAnsi="Arial" w:cs="Arial"/>
          <w:sz w:val="20"/>
          <w:szCs w:val="20"/>
          <w:u w:val="single"/>
        </w:rPr>
        <w:t>xxxx</w:t>
      </w:r>
      <w:proofErr w:type="spellEnd"/>
      <w:r>
        <w:rPr>
          <w:rFonts w:ascii="Arial" w:hAnsi="Arial" w:cs="Arial"/>
          <w:sz w:val="20"/>
          <w:szCs w:val="20"/>
          <w:u w:val="single"/>
        </w:rPr>
        <w:t xml:space="preserve"> </w:t>
      </w:r>
      <w:r>
        <w:rPr>
          <w:rFonts w:ascii="Arial" w:hAnsi="Arial" w:cs="Arial"/>
          <w:sz w:val="20"/>
          <w:szCs w:val="20"/>
        </w:rPr>
        <w:t xml:space="preserve">   </w:t>
      </w:r>
      <w:r>
        <w:rPr>
          <w:rFonts w:ascii="Arial" w:hAnsi="Arial" w:cs="Arial"/>
          <w:sz w:val="20"/>
          <w:szCs w:val="20"/>
          <w:u w:val="single"/>
        </w:rPr>
        <w:t>CADA VIDA IMPORTA</w:t>
      </w:r>
    </w:p>
    <w:p w:rsidR="00BC0EB5" w:rsidRDefault="001F45E1">
      <w:pPr>
        <w:ind w:left="1871"/>
        <w:jc w:val="both"/>
      </w:pPr>
      <w:r>
        <w:rPr>
          <w:rFonts w:ascii="Arial" w:hAnsi="Arial" w:cs="Arial"/>
          <w:sz w:val="20"/>
          <w:szCs w:val="20"/>
        </w:rPr>
        <w:t>JUSTIFICATIVA: O município de Fortaleza</w:t>
      </w:r>
      <w:r>
        <w:rPr>
          <w:rFonts w:ascii="Arial" w:hAnsi="Arial" w:cs="Arial"/>
          <w:color w:val="000000"/>
          <w:sz w:val="20"/>
          <w:szCs w:val="20"/>
        </w:rPr>
        <w:t xml:space="preserve">, a quinta capital do Brasil em população, com 2,6 milhões de habitantes, tem o maior Índice de Homicídios na Adolescência (IHA). </w:t>
      </w:r>
      <w:r w:rsidR="004D2371">
        <w:rPr>
          <w:rFonts w:ascii="Arial" w:hAnsi="Arial" w:cs="Arial"/>
          <w:color w:val="000000"/>
          <w:sz w:val="20"/>
          <w:szCs w:val="20"/>
        </w:rPr>
        <w:t xml:space="preserve">Por sua vez </w:t>
      </w:r>
      <w:r>
        <w:rPr>
          <w:rFonts w:ascii="Arial" w:hAnsi="Arial" w:cs="Arial"/>
          <w:color w:val="000000"/>
          <w:sz w:val="20"/>
          <w:szCs w:val="20"/>
        </w:rPr>
        <w:t xml:space="preserve">o Ceará, a oitava unidade da federação mais populosa, com 8,9 milhões de moradores estimados em 2016, está em terceiro lugar entre os </w:t>
      </w:r>
      <w:r w:rsidR="004D2371">
        <w:rPr>
          <w:rFonts w:ascii="Arial" w:hAnsi="Arial" w:cs="Arial"/>
          <w:color w:val="000000"/>
          <w:sz w:val="20"/>
          <w:szCs w:val="20"/>
        </w:rPr>
        <w:t>E</w:t>
      </w:r>
      <w:r>
        <w:rPr>
          <w:rFonts w:ascii="Arial" w:hAnsi="Arial" w:cs="Arial"/>
          <w:color w:val="000000"/>
          <w:sz w:val="20"/>
          <w:szCs w:val="20"/>
        </w:rPr>
        <w:t>stados com mais mortes na faixa etária de 12 a 18 anos. Em 2015, 816 meninos e meninas de 10 a 19 anos foram mortos no território cearense, sendo 387 apenas na capital Fortaleza, segundo a Secretaria da Segurança Pública e Defesa Social. No entanto, a violência letal não se agravou de um ano para o outro. As estatísticas revelam que o problema se intensificou ao longo de mais de uma década, principalmente na adolescência. Há um desconforto com os números da violência, mas também com as interpretações disponíveis sobre a questão, ainda insuficientes ou carregadas de estereótipos. É preciso lançar luz sobre um cenário sombrio, analisar em detalhes um fenômeno que não está satisfatoriamente claro.</w:t>
      </w:r>
    </w:p>
    <w:p w:rsidR="00BC0EB5" w:rsidRDefault="004D2371">
      <w:pPr>
        <w:ind w:left="1871"/>
        <w:jc w:val="both"/>
      </w:pPr>
      <w:r>
        <w:rPr>
          <w:rFonts w:ascii="Arial" w:hAnsi="Arial" w:cs="Arial"/>
          <w:sz w:val="20"/>
          <w:szCs w:val="20"/>
        </w:rPr>
        <w:t>Para evitar que a violência continue fazendo tantas vítimas</w:t>
      </w:r>
      <w:r w:rsidR="001F45E1">
        <w:rPr>
          <w:rFonts w:ascii="Arial" w:hAnsi="Arial" w:cs="Arial"/>
          <w:sz w:val="20"/>
          <w:szCs w:val="20"/>
        </w:rPr>
        <w:t xml:space="preserve"> fazem-se necessárias </w:t>
      </w:r>
      <w:r>
        <w:rPr>
          <w:rFonts w:ascii="Arial" w:hAnsi="Arial" w:cs="Arial"/>
          <w:sz w:val="20"/>
          <w:szCs w:val="20"/>
        </w:rPr>
        <w:t>medidas</w:t>
      </w:r>
      <w:r w:rsidR="001F45E1">
        <w:rPr>
          <w:rFonts w:ascii="Arial" w:hAnsi="Arial" w:cs="Arial"/>
          <w:sz w:val="20"/>
          <w:szCs w:val="20"/>
        </w:rPr>
        <w:t xml:space="preserve"> eficientes e urgentes através de políticas públicas direcionadas a esta faixa etária. D</w:t>
      </w:r>
      <w:r>
        <w:rPr>
          <w:rFonts w:ascii="Arial" w:hAnsi="Arial" w:cs="Arial"/>
          <w:sz w:val="20"/>
          <w:szCs w:val="20"/>
        </w:rPr>
        <w:t xml:space="preserve">a mesma </w:t>
      </w:r>
      <w:r w:rsidR="001F45E1">
        <w:rPr>
          <w:rFonts w:ascii="Arial" w:hAnsi="Arial" w:cs="Arial"/>
          <w:sz w:val="20"/>
          <w:szCs w:val="20"/>
        </w:rPr>
        <w:t xml:space="preserve">forma o desenvolvimento e ampliação das políticas públicas que ponham em prática o conjunto de recomendações apresentadas pelo Comitê Cearense pela Prevenção de Homicídios na Adolescência, resultado de um esforço coletivo e da soma de um ano intenso de trabalho. </w:t>
      </w:r>
      <w:r>
        <w:rPr>
          <w:rFonts w:ascii="Arial" w:hAnsi="Arial" w:cs="Arial"/>
          <w:sz w:val="20"/>
          <w:szCs w:val="20"/>
        </w:rPr>
        <w:t>A pesquisa</w:t>
      </w:r>
      <w:r w:rsidR="001F45E1">
        <w:rPr>
          <w:rFonts w:ascii="Arial" w:hAnsi="Arial" w:cs="Arial"/>
          <w:sz w:val="20"/>
          <w:szCs w:val="20"/>
        </w:rPr>
        <w:t xml:space="preserve"> se voltou para a prevenção de homicídios na adolescência, mas os desdobramentos podem e devem ter uma repercussão positiva não apenas na faixa etária de 10 a 19 anos. O foco das recomendações é para um grupo populacional específico, os adolescentes, mas o compromisso é com a vida de todos, independentemente da geração. Implementadas as propostas ora apresentadas, o comitê acredita que a redução de crimes de morte vai se estender para além da infância, adolescência e juventude, porque cada vida importa.</w:t>
      </w:r>
    </w:p>
    <w:p w:rsidR="00BC0EB5" w:rsidRDefault="00BC0EB5">
      <w:pPr>
        <w:rPr>
          <w:rFonts w:ascii="Arial" w:hAnsi="Arial" w:cs="Arial"/>
          <w:sz w:val="20"/>
          <w:szCs w:val="20"/>
        </w:rPr>
      </w:pPr>
    </w:p>
    <w:p w:rsidR="00BC0EB5" w:rsidRDefault="001F45E1">
      <w:r>
        <w:rPr>
          <w:rFonts w:ascii="Arial" w:hAnsi="Arial" w:cs="Arial"/>
          <w:sz w:val="20"/>
          <w:szCs w:val="20"/>
        </w:rPr>
        <w:t>PÚBLICO ALVO: População adolescente de Fortaleza</w:t>
      </w:r>
    </w:p>
    <w:p w:rsidR="00BC0EB5" w:rsidRDefault="001F45E1">
      <w:r>
        <w:rPr>
          <w:rFonts w:ascii="Arial" w:hAnsi="Arial" w:cs="Arial"/>
          <w:sz w:val="20"/>
          <w:szCs w:val="20"/>
        </w:rPr>
        <w:t xml:space="preserve">OBJETIVO: Promover ações de prevenção de homicídios na adolescência, para a construção de uma Fortaleza mais segura, inclusiva e justa. </w:t>
      </w:r>
    </w:p>
    <w:p w:rsidR="00BC0EB5" w:rsidRDefault="001F45E1">
      <w:r>
        <w:rPr>
          <w:rFonts w:ascii="Arial" w:eastAsia="Arial" w:hAnsi="Arial" w:cs="Arial"/>
          <w:sz w:val="20"/>
          <w:szCs w:val="20"/>
        </w:rPr>
        <w:t xml:space="preserve"> </w:t>
      </w:r>
    </w:p>
    <w:p w:rsidR="00BC0EB5" w:rsidRPr="00FA691C" w:rsidRDefault="001F45E1">
      <w:pPr>
        <w:rPr>
          <w:color w:val="auto"/>
        </w:rPr>
      </w:pPr>
      <w:r w:rsidRPr="00FA691C">
        <w:rPr>
          <w:rFonts w:ascii="Arial" w:hAnsi="Arial" w:cs="Arial"/>
          <w:color w:val="auto"/>
          <w:sz w:val="20"/>
          <w:szCs w:val="20"/>
          <w:u w:val="single"/>
        </w:rPr>
        <w:t>INDICADOR                                             UNIDADE DE MEDIDA                    ÍNDICE RECENTE                            ÍNDICE FINAL                        FONTE</w:t>
      </w:r>
    </w:p>
    <w:p w:rsidR="00BC0EB5" w:rsidRPr="00FA691C" w:rsidRDefault="001F45E1">
      <w:pPr>
        <w:rPr>
          <w:color w:val="auto"/>
        </w:rPr>
      </w:pPr>
      <w:r w:rsidRPr="00FA691C">
        <w:rPr>
          <w:rFonts w:ascii="Arial" w:hAnsi="Arial" w:cs="Arial"/>
          <w:color w:val="auto"/>
          <w:sz w:val="20"/>
          <w:szCs w:val="20"/>
        </w:rPr>
        <w:t xml:space="preserve">Número de adolescentes </w:t>
      </w:r>
      <w:r w:rsidR="002402D2" w:rsidRPr="00FA691C">
        <w:rPr>
          <w:rFonts w:ascii="Arial" w:hAnsi="Arial" w:cs="Arial"/>
          <w:color w:val="auto"/>
          <w:sz w:val="20"/>
          <w:szCs w:val="20"/>
        </w:rPr>
        <w:t>atendidos</w:t>
      </w:r>
      <w:r w:rsidRPr="00FA691C">
        <w:rPr>
          <w:rFonts w:ascii="Arial" w:hAnsi="Arial" w:cs="Arial"/>
          <w:color w:val="auto"/>
          <w:sz w:val="20"/>
          <w:szCs w:val="20"/>
        </w:rPr>
        <w:t xml:space="preserve">            UNIDADE                                        </w:t>
      </w:r>
      <w:r w:rsidR="002402D2" w:rsidRPr="00FA691C">
        <w:rPr>
          <w:rFonts w:ascii="Arial" w:hAnsi="Arial" w:cs="Arial"/>
          <w:color w:val="auto"/>
          <w:sz w:val="20"/>
          <w:szCs w:val="20"/>
        </w:rPr>
        <w:t>2</w:t>
      </w:r>
      <w:r w:rsidRPr="00FA691C">
        <w:rPr>
          <w:rFonts w:ascii="Arial" w:hAnsi="Arial" w:cs="Arial"/>
          <w:color w:val="auto"/>
          <w:sz w:val="20"/>
          <w:szCs w:val="20"/>
        </w:rPr>
        <w:t xml:space="preserve">.000                                                6.000                                </w:t>
      </w:r>
      <w:r w:rsidR="002402D2" w:rsidRPr="00FA691C">
        <w:rPr>
          <w:rFonts w:ascii="Arial" w:hAnsi="Arial" w:cs="Arial"/>
          <w:color w:val="auto"/>
          <w:sz w:val="20"/>
          <w:szCs w:val="20"/>
        </w:rPr>
        <w:t xml:space="preserve">    </w:t>
      </w:r>
      <w:r w:rsidRPr="00FA691C">
        <w:rPr>
          <w:rFonts w:ascii="Arial" w:hAnsi="Arial" w:cs="Arial"/>
          <w:color w:val="auto"/>
          <w:sz w:val="20"/>
          <w:szCs w:val="20"/>
        </w:rPr>
        <w:t>SDHDS</w:t>
      </w:r>
    </w:p>
    <w:p w:rsidR="00BC0EB5" w:rsidRPr="00FA691C" w:rsidRDefault="001F45E1">
      <w:pPr>
        <w:rPr>
          <w:color w:val="auto"/>
        </w:rPr>
      </w:pP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t xml:space="preserve">          SME</w:t>
      </w:r>
    </w:p>
    <w:p w:rsidR="00BC0EB5" w:rsidRPr="00FA691C" w:rsidRDefault="001F45E1">
      <w:pPr>
        <w:rPr>
          <w:color w:val="auto"/>
        </w:rPr>
      </w:pP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r>
      <w:r w:rsidRPr="00FA691C">
        <w:rPr>
          <w:rFonts w:ascii="Arial" w:hAnsi="Arial" w:cs="Arial"/>
          <w:color w:val="auto"/>
          <w:sz w:val="20"/>
          <w:szCs w:val="20"/>
        </w:rPr>
        <w:tab/>
        <w:t xml:space="preserve">         CEPPJ</w:t>
      </w:r>
    </w:p>
    <w:p w:rsidR="00BC0EB5" w:rsidRDefault="001F45E1">
      <w:pPr>
        <w:suppressAutoHyphens w:val="0"/>
        <w:spacing w:before="240" w:after="200"/>
        <w:jc w:val="both"/>
        <w:textAlignment w:val="auto"/>
      </w:pPr>
      <w:r>
        <w:rPr>
          <w:rFonts w:ascii="Arial" w:eastAsia="Times New Roman" w:hAnsi="Arial" w:cs="Arial"/>
          <w:b/>
          <w:bCs/>
          <w:lang w:eastAsia="pt-BR" w:bidi="ar-SA"/>
        </w:rPr>
        <w:lastRenderedPageBreak/>
        <w:t xml:space="preserve">Art. 2º. </w:t>
      </w:r>
      <w:r>
        <w:rPr>
          <w:rFonts w:ascii="Arial" w:eastAsia="Times New Roman" w:hAnsi="Arial" w:cs="Arial"/>
          <w:lang w:eastAsia="pt-BR" w:bidi="ar-SA"/>
        </w:rPr>
        <w:t>Ficam acrescentadas, no Relatório V, as ações e metas físicas do Programa Finalístico, adicionado no artigo 1º desta emenda, especificadas a seguir:</w:t>
      </w:r>
    </w:p>
    <w:p w:rsidR="00BC0EB5" w:rsidRDefault="001F45E1">
      <w:r>
        <w:rPr>
          <w:rFonts w:ascii="Arial" w:hAnsi="Arial" w:cs="Arial"/>
          <w:b/>
          <w:bCs/>
        </w:rPr>
        <w:t>Relatório V – Regionalização das Ações e Metas Físicas dos Programa Finalísticos</w:t>
      </w:r>
    </w:p>
    <w:tbl>
      <w:tblPr>
        <w:tblW w:w="0" w:type="auto"/>
        <w:tblInd w:w="-881" w:type="dxa"/>
        <w:tblLayout w:type="fixed"/>
        <w:tblCellMar>
          <w:top w:w="55" w:type="dxa"/>
          <w:left w:w="55" w:type="dxa"/>
          <w:bottom w:w="55" w:type="dxa"/>
          <w:right w:w="55" w:type="dxa"/>
        </w:tblCellMar>
        <w:tblLook w:val="0000" w:firstRow="0" w:lastRow="0" w:firstColumn="0" w:lastColumn="0" w:noHBand="0" w:noVBand="0"/>
      </w:tblPr>
      <w:tblGrid>
        <w:gridCol w:w="788"/>
        <w:gridCol w:w="2789"/>
        <w:gridCol w:w="731"/>
        <w:gridCol w:w="1019"/>
        <w:gridCol w:w="1538"/>
        <w:gridCol w:w="1347"/>
        <w:gridCol w:w="1365"/>
        <w:gridCol w:w="1481"/>
        <w:gridCol w:w="1365"/>
        <w:gridCol w:w="1346"/>
        <w:gridCol w:w="1508"/>
      </w:tblGrid>
      <w:tr w:rsidR="00BC0EB5">
        <w:tc>
          <w:tcPr>
            <w:tcW w:w="3577" w:type="dxa"/>
            <w:gridSpan w:val="2"/>
            <w:tcBorders>
              <w:top w:val="single" w:sz="1" w:space="0" w:color="000000"/>
              <w:left w:val="single" w:sz="1" w:space="0" w:color="000000"/>
              <w:bottom w:val="single" w:sz="1" w:space="0" w:color="000000"/>
            </w:tcBorders>
            <w:shd w:val="clear" w:color="auto" w:fill="auto"/>
          </w:tcPr>
          <w:p w:rsidR="00BC0EB5" w:rsidRDefault="001F45E1">
            <w:pPr>
              <w:pStyle w:val="Contedodatabela"/>
            </w:pPr>
            <w:r>
              <w:rPr>
                <w:rFonts w:ascii="Arial" w:hAnsi="Arial" w:cs="Arial"/>
                <w:sz w:val="20"/>
                <w:szCs w:val="20"/>
              </w:rPr>
              <w:t xml:space="preserve">PROG.   Descrição do Programa   </w:t>
            </w:r>
          </w:p>
        </w:tc>
        <w:tc>
          <w:tcPr>
            <w:tcW w:w="1750" w:type="dxa"/>
            <w:gridSpan w:val="2"/>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Município</w:t>
            </w:r>
          </w:p>
        </w:tc>
        <w:tc>
          <w:tcPr>
            <w:tcW w:w="1538"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 Centro</w:t>
            </w:r>
          </w:p>
        </w:tc>
        <w:tc>
          <w:tcPr>
            <w:tcW w:w="1347"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II</w:t>
            </w:r>
          </w:p>
        </w:tc>
        <w:tc>
          <w:tcPr>
            <w:tcW w:w="1365"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III</w:t>
            </w:r>
          </w:p>
        </w:tc>
        <w:tc>
          <w:tcPr>
            <w:tcW w:w="1481"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IV</w:t>
            </w:r>
          </w:p>
        </w:tc>
        <w:tc>
          <w:tcPr>
            <w:tcW w:w="1365"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V</w:t>
            </w:r>
          </w:p>
        </w:tc>
        <w:tc>
          <w:tcPr>
            <w:tcW w:w="1346"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V</w:t>
            </w:r>
          </w:p>
        </w:tc>
        <w:tc>
          <w:tcPr>
            <w:tcW w:w="1508" w:type="dxa"/>
            <w:tcBorders>
              <w:top w:val="single" w:sz="1" w:space="0" w:color="000000"/>
              <w:left w:val="single" w:sz="1" w:space="0" w:color="000000"/>
              <w:bottom w:val="single" w:sz="1" w:space="0" w:color="000000"/>
              <w:right w:val="single" w:sz="1" w:space="0" w:color="000000"/>
            </w:tcBorders>
            <w:shd w:val="clear" w:color="auto" w:fill="auto"/>
          </w:tcPr>
          <w:p w:rsidR="00BC0EB5" w:rsidRDefault="001F45E1">
            <w:pPr>
              <w:pStyle w:val="Contedodatabela"/>
              <w:jc w:val="center"/>
            </w:pPr>
            <w:r>
              <w:rPr>
                <w:rFonts w:ascii="Arial" w:hAnsi="Arial" w:cs="Arial"/>
                <w:sz w:val="20"/>
                <w:szCs w:val="20"/>
              </w:rPr>
              <w:t>Regional VI</w:t>
            </w: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pPr>
            <w:r>
              <w:rPr>
                <w:rFonts w:ascii="Arial" w:eastAsia="Arial" w:hAnsi="Arial" w:cs="Arial"/>
                <w:sz w:val="20"/>
                <w:szCs w:val="20"/>
              </w:rPr>
              <w:t xml:space="preserve">             </w:t>
            </w:r>
            <w:r>
              <w:rPr>
                <w:rFonts w:ascii="Arial" w:hAnsi="Arial" w:cs="Arial"/>
                <w:sz w:val="20"/>
                <w:szCs w:val="20"/>
              </w:rPr>
              <w:t>Ação      Descrição da ação</w:t>
            </w:r>
          </w:p>
        </w:tc>
        <w:tc>
          <w:tcPr>
            <w:tcW w:w="731"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 xml:space="preserve">2018    </w:t>
            </w:r>
          </w:p>
        </w:tc>
        <w:tc>
          <w:tcPr>
            <w:tcW w:w="1019"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2019-2021</w:t>
            </w:r>
          </w:p>
        </w:tc>
        <w:tc>
          <w:tcPr>
            <w:tcW w:w="1538"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347"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365"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81"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365"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346"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508" w:type="dxa"/>
            <w:tcBorders>
              <w:left w:val="single" w:sz="1" w:space="0" w:color="000000"/>
              <w:bottom w:val="single" w:sz="1" w:space="0" w:color="000000"/>
              <w:right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r>
      <w:tr w:rsidR="00BC0EB5">
        <w:tc>
          <w:tcPr>
            <w:tcW w:w="788" w:type="dxa"/>
            <w:tcBorders>
              <w:left w:val="single" w:sz="1" w:space="0" w:color="000000"/>
              <w:bottom w:val="single" w:sz="1" w:space="0" w:color="000000"/>
            </w:tcBorders>
            <w:shd w:val="clear" w:color="auto" w:fill="auto"/>
          </w:tcPr>
          <w:p w:rsidR="00BC0EB5" w:rsidRDefault="00BC0EB5">
            <w:pPr>
              <w:pStyle w:val="Contedodatabela"/>
              <w:snapToGrid w:val="0"/>
              <w:rPr>
                <w:rFonts w:ascii="Arial" w:hAnsi="Arial" w:cs="Arial"/>
                <w:sz w:val="20"/>
                <w:szCs w:val="20"/>
              </w:rPr>
            </w:pPr>
          </w:p>
        </w:tc>
        <w:tc>
          <w:tcPr>
            <w:tcW w:w="2789"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sz w:val="20"/>
                <w:szCs w:val="20"/>
              </w:rPr>
              <w:t>Produto/ Unidade de medida</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788"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b/>
                <w:bCs/>
                <w:sz w:val="20"/>
                <w:szCs w:val="20"/>
                <w:u w:val="single"/>
              </w:rPr>
              <w:t>XXXX</w:t>
            </w:r>
            <w:r>
              <w:rPr>
                <w:rFonts w:ascii="Arial" w:hAnsi="Arial" w:cs="Arial"/>
                <w:sz w:val="20"/>
                <w:szCs w:val="20"/>
              </w:rPr>
              <w:t xml:space="preserve"> </w:t>
            </w:r>
          </w:p>
        </w:tc>
        <w:tc>
          <w:tcPr>
            <w:tcW w:w="2789"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b/>
                <w:bCs/>
                <w:sz w:val="20"/>
                <w:szCs w:val="20"/>
                <w:u w:val="single"/>
              </w:rPr>
              <w:t>CADA VIDA IMPORTA</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Desenvolvimento do serviço intersetorial (saúde, assistência e segurança) de atenção às famílias de adolescentes vítimas de homicídio, que</w:t>
            </w:r>
            <w:r w:rsidR="00AC78AE">
              <w:rPr>
                <w:rFonts w:ascii="Arial" w:hAnsi="Arial" w:cs="Arial"/>
                <w:sz w:val="20"/>
                <w:szCs w:val="20"/>
              </w:rPr>
              <w:t xml:space="preserve"> se</w:t>
            </w:r>
            <w:r>
              <w:rPr>
                <w:rFonts w:ascii="Arial" w:hAnsi="Arial" w:cs="Arial"/>
                <w:sz w:val="20"/>
                <w:szCs w:val="20"/>
              </w:rPr>
              <w:t xml:space="preserve"> inici</w:t>
            </w:r>
            <w:r w:rsidR="00186E21">
              <w:rPr>
                <w:rFonts w:ascii="Arial" w:hAnsi="Arial" w:cs="Arial"/>
                <w:sz w:val="20"/>
                <w:szCs w:val="20"/>
              </w:rPr>
              <w:t>a</w:t>
            </w:r>
            <w:r>
              <w:rPr>
                <w:rFonts w:ascii="Arial" w:hAnsi="Arial" w:cs="Arial"/>
                <w:sz w:val="20"/>
                <w:szCs w:val="20"/>
              </w:rPr>
              <w:t xml:space="preserve"> na notificação à rede de proteção social para garantir o atendimento psicossocial aos familiares.</w:t>
            </w:r>
          </w:p>
          <w:p w:rsidR="00BC0EB5" w:rsidRDefault="001F45E1">
            <w:pPr>
              <w:pStyle w:val="Contedodatabela"/>
              <w:jc w:val="both"/>
            </w:pPr>
            <w:r>
              <w:rPr>
                <w:rFonts w:ascii="Arial" w:hAnsi="Arial" w:cs="Arial"/>
                <w:sz w:val="20"/>
                <w:szCs w:val="20"/>
                <w:u w:val="single"/>
              </w:rPr>
              <w:t>Adolescente atendido - Pessoa</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3.000</w:t>
            </w: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P</w:t>
            </w:r>
            <w:r w:rsidR="00186E21">
              <w:rPr>
                <w:rFonts w:ascii="Arial" w:hAnsi="Arial" w:cs="Arial"/>
                <w:sz w:val="20"/>
                <w:szCs w:val="20"/>
              </w:rPr>
              <w:t xml:space="preserve">arceria com organizações da sociedade civil para ações voltadas para a redução  de homicídios </w:t>
            </w:r>
            <w:r>
              <w:rPr>
                <w:rFonts w:ascii="Arial" w:hAnsi="Arial" w:cs="Arial"/>
                <w:sz w:val="20"/>
                <w:szCs w:val="20"/>
              </w:rPr>
              <w:t>de adolescentes, nos territórios vulneráveis.</w:t>
            </w:r>
          </w:p>
          <w:p w:rsidR="00BC0EB5" w:rsidRDefault="001F45E1">
            <w:pPr>
              <w:pStyle w:val="Contedodatabela"/>
              <w:jc w:val="both"/>
            </w:pPr>
            <w:r>
              <w:rPr>
                <w:rFonts w:ascii="Arial" w:hAnsi="Arial" w:cs="Arial"/>
                <w:sz w:val="20"/>
                <w:szCs w:val="20"/>
                <w:u w:val="single"/>
              </w:rPr>
              <w:t>Parcerias firmadas</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w:t>
            </w: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AC78AE" w:rsidRDefault="001F45E1">
            <w:pPr>
              <w:pStyle w:val="Contedodatabela"/>
              <w:jc w:val="both"/>
              <w:rPr>
                <w:rFonts w:ascii="Arial" w:eastAsia="Arial" w:hAnsi="Arial" w:cs="Arial"/>
                <w:sz w:val="20"/>
                <w:szCs w:val="20"/>
              </w:rPr>
            </w:pPr>
            <w:r>
              <w:rPr>
                <w:rFonts w:ascii="Arial" w:eastAsia="Arial" w:hAnsi="Arial" w:cs="Arial"/>
                <w:sz w:val="20"/>
                <w:szCs w:val="20"/>
              </w:rPr>
              <w:t xml:space="preserve">  </w:t>
            </w:r>
          </w:p>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Regularização fundiária de territórios vulneráveis ao homicídio de jovens.</w:t>
            </w:r>
          </w:p>
          <w:p w:rsidR="00BC0EB5" w:rsidRDefault="001F45E1">
            <w:pPr>
              <w:pStyle w:val="Contedodatabela"/>
              <w:jc w:val="both"/>
            </w:pPr>
            <w:r>
              <w:rPr>
                <w:rFonts w:ascii="Arial" w:hAnsi="Arial" w:cs="Arial"/>
                <w:sz w:val="20"/>
                <w:szCs w:val="20"/>
                <w:u w:val="single"/>
              </w:rPr>
              <w:t>Jovens atendidos</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3.000</w:t>
            </w: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rsidP="00845D2F">
            <w:pPr>
              <w:pStyle w:val="Contedodatabela"/>
              <w:jc w:val="both"/>
            </w:pPr>
            <w:r>
              <w:rPr>
                <w:rFonts w:ascii="Arial" w:eastAsia="Arial" w:hAnsi="Arial" w:cs="Arial"/>
                <w:sz w:val="20"/>
                <w:szCs w:val="20"/>
              </w:rPr>
              <w:t xml:space="preserve">         </w:t>
            </w:r>
            <w:r>
              <w:rPr>
                <w:rFonts w:ascii="Arial" w:hAnsi="Arial" w:cs="Arial"/>
                <w:sz w:val="20"/>
                <w:szCs w:val="20"/>
              </w:rPr>
              <w:t>XXXX Monitoramento da frequência escolar</w:t>
            </w:r>
            <w:r w:rsidR="00845D2F">
              <w:rPr>
                <w:rFonts w:ascii="Arial" w:hAnsi="Arial" w:cs="Arial"/>
                <w:sz w:val="20"/>
                <w:szCs w:val="20"/>
              </w:rPr>
              <w:t xml:space="preserve"> com </w:t>
            </w:r>
            <w:r>
              <w:rPr>
                <w:rFonts w:ascii="Arial" w:hAnsi="Arial" w:cs="Arial"/>
                <w:sz w:val="20"/>
                <w:szCs w:val="20"/>
              </w:rPr>
              <w:t xml:space="preserve"> realização de busca ativa</w:t>
            </w:r>
            <w:r w:rsidR="003D6AD9">
              <w:rPr>
                <w:rFonts w:ascii="Arial" w:hAnsi="Arial" w:cs="Arial"/>
                <w:sz w:val="20"/>
                <w:szCs w:val="20"/>
              </w:rPr>
              <w:t xml:space="preserve"> em casos de risco de </w:t>
            </w:r>
            <w:r w:rsidR="003D6AD9">
              <w:rPr>
                <w:rFonts w:ascii="Arial" w:hAnsi="Arial" w:cs="Arial"/>
                <w:sz w:val="20"/>
                <w:szCs w:val="20"/>
              </w:rPr>
              <w:lastRenderedPageBreak/>
              <w:t xml:space="preserve">evasão escolar, </w:t>
            </w:r>
            <w:r>
              <w:rPr>
                <w:rFonts w:ascii="Arial" w:hAnsi="Arial" w:cs="Arial"/>
                <w:sz w:val="20"/>
                <w:szCs w:val="20"/>
              </w:rPr>
              <w:t>de crianças</w:t>
            </w:r>
            <w:r w:rsidR="005C35F5">
              <w:rPr>
                <w:rFonts w:ascii="Arial" w:hAnsi="Arial" w:cs="Arial"/>
                <w:sz w:val="20"/>
                <w:szCs w:val="20"/>
              </w:rPr>
              <w:t xml:space="preserve"> e adolescentes matriculados na rede municipal, do 6º ao </w:t>
            </w:r>
            <w:r w:rsidR="00845D2F">
              <w:rPr>
                <w:rFonts w:ascii="Arial" w:hAnsi="Arial" w:cs="Arial"/>
                <w:sz w:val="20"/>
                <w:szCs w:val="20"/>
              </w:rPr>
              <w:t>9</w:t>
            </w:r>
            <w:r w:rsidR="005C35F5">
              <w:rPr>
                <w:rFonts w:ascii="Arial" w:hAnsi="Arial" w:cs="Arial"/>
                <w:sz w:val="20"/>
                <w:szCs w:val="20"/>
              </w:rPr>
              <w:t xml:space="preserve">º ano, </w:t>
            </w:r>
            <w:r>
              <w:rPr>
                <w:rFonts w:ascii="Arial" w:hAnsi="Arial" w:cs="Arial"/>
                <w:sz w:val="20"/>
                <w:szCs w:val="20"/>
                <w:u w:val="single"/>
              </w:rPr>
              <w:t>Alunos / adolescentes beneficiados</w:t>
            </w:r>
            <w:r>
              <w:rPr>
                <w:rFonts w:ascii="Arial" w:hAnsi="Arial" w:cs="Arial"/>
                <w:sz w:val="20"/>
                <w:szCs w:val="20"/>
              </w:rPr>
              <w:t xml:space="preserve"> </w:t>
            </w:r>
            <w:r w:rsidR="005C35F5">
              <w:rPr>
                <w:rFonts w:ascii="Arial" w:hAnsi="Arial" w:cs="Arial"/>
                <w:sz w:val="20"/>
                <w:szCs w:val="20"/>
              </w:rPr>
              <w:t>(por percentual de matrícula)</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3E7388" w:rsidP="003D6AD9">
            <w:pPr>
              <w:pStyle w:val="Contedodatabela"/>
              <w:jc w:val="center"/>
              <w:rPr>
                <w:rFonts w:ascii="Arial" w:hAnsi="Arial" w:cs="Arial"/>
                <w:sz w:val="16"/>
                <w:szCs w:val="16"/>
              </w:rPr>
            </w:pPr>
            <w:r>
              <w:rPr>
                <w:rFonts w:ascii="Arial" w:hAnsi="Arial" w:cs="Arial"/>
                <w:sz w:val="16"/>
                <w:szCs w:val="16"/>
              </w:rPr>
              <w:t>1.617</w:t>
            </w:r>
          </w:p>
          <w:p w:rsidR="003D6AD9" w:rsidRDefault="003D6AD9" w:rsidP="003E7388">
            <w:pPr>
              <w:pStyle w:val="Contedodatabela"/>
              <w:jc w:val="center"/>
            </w:pP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3E7388">
            <w:pPr>
              <w:pStyle w:val="Contedodatabela"/>
              <w:jc w:val="center"/>
              <w:rPr>
                <w:rFonts w:ascii="Arial" w:hAnsi="Arial" w:cs="Arial"/>
                <w:sz w:val="16"/>
                <w:szCs w:val="16"/>
              </w:rPr>
            </w:pPr>
            <w:r>
              <w:rPr>
                <w:rFonts w:ascii="Arial" w:hAnsi="Arial" w:cs="Arial"/>
                <w:sz w:val="16"/>
                <w:szCs w:val="16"/>
              </w:rPr>
              <w:t>4.850</w:t>
            </w:r>
          </w:p>
          <w:p w:rsidR="003D6AD9" w:rsidRDefault="003D6AD9" w:rsidP="00845D2F">
            <w:pPr>
              <w:pStyle w:val="Contedodatabela"/>
              <w:jc w:val="center"/>
            </w:pP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 xml:space="preserve">XXXX Implantação da </w:t>
            </w:r>
            <w:r w:rsidR="003D6AD9">
              <w:rPr>
                <w:rFonts w:ascii="Arial" w:hAnsi="Arial" w:cs="Arial"/>
                <w:sz w:val="20"/>
                <w:szCs w:val="20"/>
              </w:rPr>
              <w:t>R</w:t>
            </w:r>
            <w:r>
              <w:rPr>
                <w:rFonts w:ascii="Arial" w:hAnsi="Arial" w:cs="Arial"/>
                <w:sz w:val="20"/>
                <w:szCs w:val="20"/>
              </w:rPr>
              <w:t xml:space="preserve">ede de </w:t>
            </w:r>
            <w:r w:rsidR="003D6AD9">
              <w:rPr>
                <w:rFonts w:ascii="Arial" w:hAnsi="Arial" w:cs="Arial"/>
                <w:sz w:val="20"/>
                <w:szCs w:val="20"/>
              </w:rPr>
              <w:t>A</w:t>
            </w:r>
            <w:r>
              <w:rPr>
                <w:rFonts w:ascii="Arial" w:hAnsi="Arial" w:cs="Arial"/>
                <w:sz w:val="20"/>
                <w:szCs w:val="20"/>
              </w:rPr>
              <w:t xml:space="preserve">tendimento </w:t>
            </w:r>
            <w:r w:rsidR="003D6AD9">
              <w:rPr>
                <w:rFonts w:ascii="Arial" w:hAnsi="Arial" w:cs="Arial"/>
                <w:sz w:val="20"/>
                <w:szCs w:val="20"/>
              </w:rPr>
              <w:t>P</w:t>
            </w:r>
            <w:r>
              <w:rPr>
                <w:rFonts w:ascii="Arial" w:hAnsi="Arial" w:cs="Arial"/>
                <w:sz w:val="20"/>
                <w:szCs w:val="20"/>
              </w:rPr>
              <w:t xml:space="preserve">sicossocial </w:t>
            </w:r>
            <w:r w:rsidR="003D6AD9">
              <w:rPr>
                <w:rFonts w:ascii="Arial" w:hAnsi="Arial" w:cs="Arial"/>
                <w:sz w:val="20"/>
                <w:szCs w:val="20"/>
              </w:rPr>
              <w:t>Á</w:t>
            </w:r>
            <w:r>
              <w:rPr>
                <w:rFonts w:ascii="Arial" w:hAnsi="Arial" w:cs="Arial"/>
                <w:sz w:val="20"/>
                <w:szCs w:val="20"/>
              </w:rPr>
              <w:t xml:space="preserve">lcool e </w:t>
            </w:r>
            <w:r w:rsidR="003D6AD9">
              <w:rPr>
                <w:rFonts w:ascii="Arial" w:hAnsi="Arial" w:cs="Arial"/>
                <w:sz w:val="20"/>
                <w:szCs w:val="20"/>
              </w:rPr>
              <w:t>D</w:t>
            </w:r>
            <w:r>
              <w:rPr>
                <w:rFonts w:ascii="Arial" w:hAnsi="Arial" w:cs="Arial"/>
                <w:sz w:val="20"/>
                <w:szCs w:val="20"/>
              </w:rPr>
              <w:t>rogas (</w:t>
            </w:r>
            <w:proofErr w:type="spellStart"/>
            <w:r w:rsidR="003D6AD9">
              <w:rPr>
                <w:rFonts w:ascii="Arial" w:hAnsi="Arial" w:cs="Arial"/>
                <w:sz w:val="20"/>
                <w:szCs w:val="20"/>
              </w:rPr>
              <w:t>C</w:t>
            </w:r>
            <w:r>
              <w:rPr>
                <w:rFonts w:ascii="Arial" w:hAnsi="Arial" w:cs="Arial"/>
                <w:sz w:val="20"/>
                <w:szCs w:val="20"/>
              </w:rPr>
              <w:t>aps</w:t>
            </w:r>
            <w:proofErr w:type="spellEnd"/>
            <w:r>
              <w:rPr>
                <w:rFonts w:ascii="Arial" w:hAnsi="Arial" w:cs="Arial"/>
                <w:sz w:val="20"/>
                <w:szCs w:val="20"/>
              </w:rPr>
              <w:t>-AD) para atendimento a adolescentes.</w:t>
            </w:r>
          </w:p>
          <w:p w:rsidR="00BC0EB5" w:rsidRDefault="001F45E1">
            <w:pPr>
              <w:pStyle w:val="Contedodatabela"/>
              <w:jc w:val="both"/>
            </w:pPr>
            <w:r>
              <w:rPr>
                <w:rFonts w:ascii="Arial" w:hAnsi="Arial" w:cs="Arial"/>
                <w:sz w:val="20"/>
                <w:szCs w:val="20"/>
                <w:u w:val="single"/>
              </w:rPr>
              <w:t>Equipamentos implantados</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2</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4</w:t>
            </w: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Mediação de conflitos e proteção a adolescentes ameaçados.</w:t>
            </w:r>
          </w:p>
          <w:p w:rsidR="00BC0EB5" w:rsidRDefault="001F45E1">
            <w:pPr>
              <w:pStyle w:val="Contedodatabela"/>
              <w:jc w:val="both"/>
            </w:pPr>
            <w:r>
              <w:rPr>
                <w:rFonts w:ascii="Arial" w:hAnsi="Arial" w:cs="Arial"/>
                <w:sz w:val="20"/>
                <w:szCs w:val="20"/>
                <w:u w:val="single"/>
              </w:rPr>
              <w:t>Adolescentes assistidos</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3.000</w:t>
            </w: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 xml:space="preserve">XXXX Desenvolvimento do serviço de acompanhamento comunitário de </w:t>
            </w:r>
            <w:r w:rsidR="00AC78AE">
              <w:rPr>
                <w:rFonts w:ascii="Arial" w:hAnsi="Arial" w:cs="Arial"/>
                <w:sz w:val="20"/>
                <w:szCs w:val="20"/>
              </w:rPr>
              <w:t>M</w:t>
            </w:r>
            <w:r>
              <w:rPr>
                <w:rFonts w:ascii="Arial" w:hAnsi="Arial" w:cs="Arial"/>
                <w:sz w:val="20"/>
                <w:szCs w:val="20"/>
              </w:rPr>
              <w:t xml:space="preserve">edidas </w:t>
            </w:r>
            <w:r w:rsidR="00AC78AE">
              <w:rPr>
                <w:rFonts w:ascii="Arial" w:hAnsi="Arial" w:cs="Arial"/>
                <w:sz w:val="20"/>
                <w:szCs w:val="20"/>
              </w:rPr>
              <w:t>S</w:t>
            </w:r>
            <w:r>
              <w:rPr>
                <w:rFonts w:ascii="Arial" w:hAnsi="Arial" w:cs="Arial"/>
                <w:sz w:val="20"/>
                <w:szCs w:val="20"/>
              </w:rPr>
              <w:t xml:space="preserve">ocioeducativas em </w:t>
            </w:r>
            <w:r w:rsidR="00AC78AE">
              <w:rPr>
                <w:rFonts w:ascii="Arial" w:hAnsi="Arial" w:cs="Arial"/>
                <w:sz w:val="20"/>
                <w:szCs w:val="20"/>
              </w:rPr>
              <w:t>M</w:t>
            </w:r>
            <w:r>
              <w:rPr>
                <w:rFonts w:ascii="Arial" w:hAnsi="Arial" w:cs="Arial"/>
                <w:sz w:val="20"/>
                <w:szCs w:val="20"/>
              </w:rPr>
              <w:t xml:space="preserve">eio </w:t>
            </w:r>
            <w:r w:rsidR="00AC78AE">
              <w:rPr>
                <w:rFonts w:ascii="Arial" w:hAnsi="Arial" w:cs="Arial"/>
                <w:sz w:val="20"/>
                <w:szCs w:val="20"/>
              </w:rPr>
              <w:t>A</w:t>
            </w:r>
            <w:r>
              <w:rPr>
                <w:rFonts w:ascii="Arial" w:hAnsi="Arial" w:cs="Arial"/>
                <w:sz w:val="20"/>
                <w:szCs w:val="20"/>
              </w:rPr>
              <w:t>berto, em parceria com a sociedade civil.</w:t>
            </w:r>
          </w:p>
          <w:p w:rsidR="00BC0EB5" w:rsidRDefault="001F45E1">
            <w:pPr>
              <w:pStyle w:val="Contedodatabela"/>
              <w:jc w:val="both"/>
            </w:pPr>
            <w:r>
              <w:rPr>
                <w:rFonts w:ascii="Arial" w:hAnsi="Arial" w:cs="Arial"/>
                <w:sz w:val="20"/>
                <w:szCs w:val="20"/>
                <w:u w:val="single"/>
              </w:rPr>
              <w:t>Adolescentes atendidos</w:t>
            </w:r>
          </w:p>
        </w:tc>
        <w:tc>
          <w:tcPr>
            <w:tcW w:w="73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2.000</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6.000</w:t>
            </w:r>
          </w:p>
        </w:tc>
        <w:tc>
          <w:tcPr>
            <w:tcW w:w="1538"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1"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46"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508"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bl>
    <w:p w:rsidR="00BC0EB5" w:rsidRDefault="00BC0EB5">
      <w:pPr>
        <w:rPr>
          <w:rFonts w:ascii="Arial" w:hAnsi="Arial" w:cs="Arial"/>
          <w:sz w:val="20"/>
          <w:szCs w:val="20"/>
        </w:rPr>
      </w:pPr>
    </w:p>
    <w:p w:rsidR="00AC78AE" w:rsidRDefault="00AC78AE">
      <w:pPr>
        <w:suppressAutoHyphens w:val="0"/>
        <w:spacing w:before="240" w:after="200"/>
        <w:jc w:val="both"/>
        <w:textAlignment w:val="auto"/>
        <w:rPr>
          <w:rFonts w:ascii="Arial" w:eastAsia="Times New Roman" w:hAnsi="Arial" w:cs="Arial"/>
          <w:b/>
          <w:bCs/>
          <w:lang w:eastAsia="pt-BR" w:bidi="ar-SA"/>
        </w:rPr>
      </w:pPr>
    </w:p>
    <w:p w:rsidR="00AC78AE" w:rsidRDefault="00AC78AE">
      <w:pPr>
        <w:suppressAutoHyphens w:val="0"/>
        <w:spacing w:before="240" w:after="200"/>
        <w:jc w:val="both"/>
        <w:textAlignment w:val="auto"/>
        <w:rPr>
          <w:rFonts w:ascii="Arial" w:eastAsia="Times New Roman" w:hAnsi="Arial" w:cs="Arial"/>
          <w:b/>
          <w:bCs/>
          <w:lang w:eastAsia="pt-BR" w:bidi="ar-SA"/>
        </w:rPr>
      </w:pPr>
    </w:p>
    <w:p w:rsidR="00714EED" w:rsidRDefault="00714EED">
      <w:pPr>
        <w:suppressAutoHyphens w:val="0"/>
        <w:spacing w:before="240" w:after="200"/>
        <w:jc w:val="both"/>
        <w:textAlignment w:val="auto"/>
        <w:rPr>
          <w:rFonts w:ascii="Arial" w:eastAsia="Times New Roman" w:hAnsi="Arial" w:cs="Arial"/>
          <w:b/>
          <w:bCs/>
          <w:lang w:eastAsia="pt-BR" w:bidi="ar-SA"/>
        </w:rPr>
      </w:pPr>
    </w:p>
    <w:p w:rsidR="00714EED" w:rsidRDefault="00714EED">
      <w:pPr>
        <w:suppressAutoHyphens w:val="0"/>
        <w:spacing w:before="240" w:after="200"/>
        <w:jc w:val="both"/>
        <w:textAlignment w:val="auto"/>
        <w:rPr>
          <w:rFonts w:ascii="Arial" w:eastAsia="Times New Roman" w:hAnsi="Arial" w:cs="Arial"/>
          <w:b/>
          <w:bCs/>
          <w:lang w:eastAsia="pt-BR" w:bidi="ar-SA"/>
        </w:rPr>
      </w:pPr>
    </w:p>
    <w:p w:rsidR="00714EED" w:rsidRDefault="00714EED">
      <w:pPr>
        <w:suppressAutoHyphens w:val="0"/>
        <w:spacing w:before="240" w:after="200"/>
        <w:jc w:val="both"/>
        <w:textAlignment w:val="auto"/>
        <w:rPr>
          <w:rFonts w:ascii="Arial" w:eastAsia="Times New Roman" w:hAnsi="Arial" w:cs="Arial"/>
          <w:b/>
          <w:bCs/>
          <w:lang w:eastAsia="pt-BR" w:bidi="ar-SA"/>
        </w:rPr>
      </w:pPr>
    </w:p>
    <w:p w:rsidR="00BC0EB5" w:rsidRDefault="001F45E1">
      <w:pPr>
        <w:suppressAutoHyphens w:val="0"/>
        <w:spacing w:before="240" w:after="200"/>
        <w:jc w:val="both"/>
        <w:textAlignment w:val="auto"/>
      </w:pPr>
      <w:r>
        <w:rPr>
          <w:rFonts w:ascii="Arial" w:eastAsia="Times New Roman" w:hAnsi="Arial" w:cs="Arial"/>
          <w:b/>
          <w:bCs/>
          <w:lang w:eastAsia="pt-BR" w:bidi="ar-SA"/>
        </w:rPr>
        <w:lastRenderedPageBreak/>
        <w:t xml:space="preserve">Art. 3º. </w:t>
      </w:r>
      <w:r>
        <w:rPr>
          <w:rFonts w:ascii="Arial" w:eastAsia="Times New Roman" w:hAnsi="Arial" w:cs="Arial"/>
          <w:lang w:eastAsia="pt-BR" w:bidi="ar-SA"/>
        </w:rPr>
        <w:t>Ficam acrescentadas, no Relatório VI as ações e metas financeiras do Programa Finalístico, adicionado no artigo 1º desta emenda, especificadas a seguir:</w:t>
      </w:r>
    </w:p>
    <w:p w:rsidR="00BC0EB5" w:rsidRDefault="001F45E1">
      <w:r>
        <w:rPr>
          <w:rFonts w:ascii="Arial" w:hAnsi="Arial" w:cs="Arial"/>
          <w:b/>
          <w:bCs/>
        </w:rPr>
        <w:t>Relatório VI - Regionalização das Ações e Metas Financeiras dos Programa Finalísticos</w:t>
      </w:r>
      <w:r>
        <w:rPr>
          <w:rFonts w:ascii="Arial" w:hAnsi="Arial" w:cs="Arial"/>
          <w:b/>
          <w:bCs/>
        </w:rPr>
        <w:tab/>
      </w:r>
    </w:p>
    <w:tbl>
      <w:tblPr>
        <w:tblW w:w="0" w:type="auto"/>
        <w:tblInd w:w="-881" w:type="dxa"/>
        <w:tblLayout w:type="fixed"/>
        <w:tblCellMar>
          <w:top w:w="55" w:type="dxa"/>
          <w:left w:w="55" w:type="dxa"/>
          <w:bottom w:w="55" w:type="dxa"/>
          <w:right w:w="55" w:type="dxa"/>
        </w:tblCellMar>
        <w:tblLook w:val="0000" w:firstRow="0" w:lastRow="0" w:firstColumn="0" w:lastColumn="0" w:noHBand="0" w:noVBand="0"/>
      </w:tblPr>
      <w:tblGrid>
        <w:gridCol w:w="788"/>
        <w:gridCol w:w="2789"/>
        <w:gridCol w:w="904"/>
        <w:gridCol w:w="1077"/>
        <w:gridCol w:w="1423"/>
        <w:gridCol w:w="1404"/>
        <w:gridCol w:w="1423"/>
        <w:gridCol w:w="1423"/>
        <w:gridCol w:w="1404"/>
        <w:gridCol w:w="1365"/>
        <w:gridCol w:w="1489"/>
      </w:tblGrid>
      <w:tr w:rsidR="00BC0EB5">
        <w:tc>
          <w:tcPr>
            <w:tcW w:w="3577" w:type="dxa"/>
            <w:gridSpan w:val="2"/>
            <w:tcBorders>
              <w:top w:val="single" w:sz="1" w:space="0" w:color="000000"/>
              <w:left w:val="single" w:sz="1" w:space="0" w:color="000000"/>
              <w:bottom w:val="single" w:sz="1" w:space="0" w:color="000000"/>
            </w:tcBorders>
            <w:shd w:val="clear" w:color="auto" w:fill="auto"/>
          </w:tcPr>
          <w:p w:rsidR="00BC0EB5" w:rsidRDefault="001F45E1">
            <w:pPr>
              <w:pStyle w:val="Contedodatabela"/>
            </w:pPr>
            <w:r>
              <w:rPr>
                <w:rFonts w:ascii="Arial" w:hAnsi="Arial" w:cs="Arial"/>
                <w:sz w:val="20"/>
                <w:szCs w:val="20"/>
              </w:rPr>
              <w:t xml:space="preserve">PROG.   Descrição do Programa </w:t>
            </w:r>
          </w:p>
        </w:tc>
        <w:tc>
          <w:tcPr>
            <w:tcW w:w="1981" w:type="dxa"/>
            <w:gridSpan w:val="2"/>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Município</w:t>
            </w:r>
          </w:p>
        </w:tc>
        <w:tc>
          <w:tcPr>
            <w:tcW w:w="1423"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 Centro</w:t>
            </w:r>
          </w:p>
        </w:tc>
        <w:tc>
          <w:tcPr>
            <w:tcW w:w="1404"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II</w:t>
            </w:r>
          </w:p>
        </w:tc>
        <w:tc>
          <w:tcPr>
            <w:tcW w:w="1423"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III</w:t>
            </w:r>
          </w:p>
        </w:tc>
        <w:tc>
          <w:tcPr>
            <w:tcW w:w="1423"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IV</w:t>
            </w:r>
          </w:p>
        </w:tc>
        <w:tc>
          <w:tcPr>
            <w:tcW w:w="1404"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V</w:t>
            </w:r>
          </w:p>
        </w:tc>
        <w:tc>
          <w:tcPr>
            <w:tcW w:w="1365"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V</w:t>
            </w:r>
          </w:p>
        </w:tc>
        <w:tc>
          <w:tcPr>
            <w:tcW w:w="1489" w:type="dxa"/>
            <w:tcBorders>
              <w:top w:val="single" w:sz="1" w:space="0" w:color="000000"/>
              <w:left w:val="single" w:sz="1" w:space="0" w:color="000000"/>
              <w:bottom w:val="single" w:sz="1" w:space="0" w:color="000000"/>
              <w:right w:val="single" w:sz="1" w:space="0" w:color="000000"/>
            </w:tcBorders>
            <w:shd w:val="clear" w:color="auto" w:fill="auto"/>
          </w:tcPr>
          <w:p w:rsidR="00BC0EB5" w:rsidRDefault="001F45E1">
            <w:pPr>
              <w:pStyle w:val="Contedodatabela"/>
              <w:jc w:val="center"/>
            </w:pPr>
            <w:r>
              <w:rPr>
                <w:rFonts w:ascii="Arial" w:hAnsi="Arial" w:cs="Arial"/>
                <w:sz w:val="20"/>
                <w:szCs w:val="20"/>
              </w:rPr>
              <w:t>Regional VI</w:t>
            </w: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pPr>
            <w:r>
              <w:rPr>
                <w:rFonts w:ascii="Arial" w:eastAsia="Arial" w:hAnsi="Arial" w:cs="Arial"/>
                <w:sz w:val="20"/>
                <w:szCs w:val="20"/>
              </w:rPr>
              <w:t xml:space="preserve">          </w:t>
            </w:r>
            <w:r>
              <w:rPr>
                <w:rFonts w:ascii="Arial" w:hAnsi="Arial" w:cs="Arial"/>
                <w:sz w:val="20"/>
                <w:szCs w:val="20"/>
              </w:rPr>
              <w:t>Ação      Descrição da ação</w:t>
            </w:r>
          </w:p>
        </w:tc>
        <w:tc>
          <w:tcPr>
            <w:tcW w:w="1981" w:type="dxa"/>
            <w:gridSpan w:val="2"/>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 xml:space="preserve">2018 </w:t>
            </w:r>
            <w:r w:rsidR="00570591">
              <w:rPr>
                <w:rFonts w:ascii="Arial" w:hAnsi="Arial" w:cs="Arial"/>
                <w:sz w:val="16"/>
                <w:szCs w:val="16"/>
              </w:rPr>
              <w:t xml:space="preserve">        2019-2021</w:t>
            </w:r>
            <w:r>
              <w:rPr>
                <w:rFonts w:ascii="Arial" w:hAnsi="Arial" w:cs="Arial"/>
                <w:sz w:val="16"/>
                <w:szCs w:val="16"/>
              </w:rPr>
              <w:t xml:space="preserve"> </w:t>
            </w:r>
          </w:p>
        </w:tc>
        <w:tc>
          <w:tcPr>
            <w:tcW w:w="1423"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2019-2021</w:t>
            </w:r>
          </w:p>
        </w:tc>
        <w:tc>
          <w:tcPr>
            <w:tcW w:w="1404"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23"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23"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04"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365"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89" w:type="dxa"/>
            <w:tcBorders>
              <w:left w:val="single" w:sz="1" w:space="0" w:color="000000"/>
              <w:bottom w:val="single" w:sz="1" w:space="0" w:color="000000"/>
              <w:right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r>
      <w:tr w:rsidR="00BC0EB5">
        <w:tc>
          <w:tcPr>
            <w:tcW w:w="788" w:type="dxa"/>
            <w:tcBorders>
              <w:left w:val="single" w:sz="1" w:space="0" w:color="000000"/>
              <w:bottom w:val="single" w:sz="1" w:space="0" w:color="000000"/>
            </w:tcBorders>
            <w:shd w:val="clear" w:color="auto" w:fill="auto"/>
          </w:tcPr>
          <w:p w:rsidR="00BC0EB5" w:rsidRDefault="001F45E1">
            <w:pPr>
              <w:pStyle w:val="Contedodatabela"/>
            </w:pPr>
            <w:r>
              <w:rPr>
                <w:rFonts w:ascii="Arial" w:eastAsia="Arial" w:hAnsi="Arial" w:cs="Arial"/>
                <w:sz w:val="20"/>
                <w:szCs w:val="20"/>
              </w:rPr>
              <w:t xml:space="preserve">               </w:t>
            </w:r>
          </w:p>
        </w:tc>
        <w:tc>
          <w:tcPr>
            <w:tcW w:w="2789"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sz w:val="20"/>
                <w:szCs w:val="20"/>
              </w:rPr>
              <w:t>Produto/ Unidade de medida</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788"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b/>
                <w:bCs/>
                <w:sz w:val="20"/>
                <w:szCs w:val="20"/>
                <w:u w:val="single"/>
              </w:rPr>
              <w:t>XXXX</w:t>
            </w:r>
            <w:r>
              <w:rPr>
                <w:rFonts w:ascii="Arial" w:hAnsi="Arial" w:cs="Arial"/>
                <w:sz w:val="20"/>
                <w:szCs w:val="20"/>
              </w:rPr>
              <w:t xml:space="preserve"> </w:t>
            </w:r>
          </w:p>
        </w:tc>
        <w:tc>
          <w:tcPr>
            <w:tcW w:w="2789"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b/>
                <w:bCs/>
                <w:sz w:val="20"/>
                <w:szCs w:val="20"/>
                <w:u w:val="single"/>
              </w:rPr>
              <w:t>CADA VIDA IMPORTA</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 xml:space="preserve">XXXX Desenvolvimento do serviço intersetorial (saúde, assistência e segurança) de atenção às famílias de adolescentes vítimas de homicídio, que </w:t>
            </w:r>
            <w:r w:rsidR="00AC78AE">
              <w:rPr>
                <w:rFonts w:ascii="Arial" w:hAnsi="Arial" w:cs="Arial"/>
                <w:sz w:val="20"/>
                <w:szCs w:val="20"/>
              </w:rPr>
              <w:t xml:space="preserve">se </w:t>
            </w:r>
            <w:r>
              <w:rPr>
                <w:rFonts w:ascii="Arial" w:hAnsi="Arial" w:cs="Arial"/>
                <w:sz w:val="20"/>
                <w:szCs w:val="20"/>
              </w:rPr>
              <w:t>inici</w:t>
            </w:r>
            <w:r w:rsidR="00AC78AE">
              <w:rPr>
                <w:rFonts w:ascii="Arial" w:hAnsi="Arial" w:cs="Arial"/>
                <w:sz w:val="20"/>
                <w:szCs w:val="20"/>
              </w:rPr>
              <w:t>a</w:t>
            </w:r>
            <w:r>
              <w:rPr>
                <w:rFonts w:ascii="Arial" w:hAnsi="Arial" w:cs="Arial"/>
                <w:sz w:val="20"/>
                <w:szCs w:val="20"/>
              </w:rPr>
              <w:t xml:space="preserve"> na notificação à rede de proteção social para garantir o atendimento psicossocial aos familiares.</w:t>
            </w:r>
          </w:p>
          <w:p w:rsidR="00BC0EB5" w:rsidRDefault="001F45E1">
            <w:pPr>
              <w:pStyle w:val="Contedodatabela"/>
              <w:jc w:val="both"/>
            </w:pPr>
            <w:r>
              <w:rPr>
                <w:rFonts w:ascii="Arial" w:hAnsi="Arial" w:cs="Arial"/>
                <w:sz w:val="20"/>
                <w:szCs w:val="20"/>
                <w:u w:val="single"/>
              </w:rPr>
              <w:t>Adolescente atendido - Pessoa</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501.500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1.504.500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AC78AE" w:rsidRDefault="001F45E1" w:rsidP="00AC78AE">
            <w:pPr>
              <w:pStyle w:val="Contedodatabela"/>
              <w:jc w:val="both"/>
            </w:pPr>
            <w:r>
              <w:rPr>
                <w:rFonts w:ascii="Arial" w:eastAsia="Arial" w:hAnsi="Arial" w:cs="Arial"/>
                <w:sz w:val="20"/>
                <w:szCs w:val="20"/>
              </w:rPr>
              <w:t xml:space="preserve">          </w:t>
            </w:r>
            <w:r>
              <w:rPr>
                <w:rFonts w:ascii="Arial" w:hAnsi="Arial" w:cs="Arial"/>
                <w:sz w:val="20"/>
                <w:szCs w:val="20"/>
              </w:rPr>
              <w:t xml:space="preserve">XXXX </w:t>
            </w:r>
            <w:r w:rsidR="00AC78AE">
              <w:rPr>
                <w:rFonts w:ascii="Arial" w:hAnsi="Arial" w:cs="Arial"/>
                <w:sz w:val="20"/>
                <w:szCs w:val="20"/>
              </w:rPr>
              <w:t>Parceria com organizações da sociedade civil para ações voltadas para a redução de homicídios de adolescentes, nos territórios vulneráveis.</w:t>
            </w:r>
          </w:p>
          <w:p w:rsidR="00AC78AE" w:rsidRDefault="00AC78AE" w:rsidP="00AC78AE">
            <w:pPr>
              <w:pStyle w:val="Contedodatabela"/>
              <w:jc w:val="both"/>
            </w:pPr>
            <w:r>
              <w:rPr>
                <w:rFonts w:ascii="Arial" w:hAnsi="Arial" w:cs="Arial"/>
                <w:sz w:val="20"/>
                <w:szCs w:val="20"/>
                <w:u w:val="single"/>
              </w:rPr>
              <w:t>Parcerias firmadas</w:t>
            </w:r>
          </w:p>
          <w:p w:rsidR="00BC0EB5" w:rsidRDefault="00BC0EB5">
            <w:pPr>
              <w:pStyle w:val="Contedodatabela"/>
              <w:jc w:val="both"/>
            </w:pP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1.000.000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3.000.000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Regularização fundiária de territórios vulneráveis ao homicídio de jovens.</w:t>
            </w:r>
          </w:p>
          <w:p w:rsidR="00BC0EB5" w:rsidRDefault="001F45E1">
            <w:pPr>
              <w:pStyle w:val="Contedodatabela"/>
              <w:jc w:val="both"/>
            </w:pPr>
            <w:r>
              <w:rPr>
                <w:rFonts w:ascii="Arial" w:hAnsi="Arial" w:cs="Arial"/>
                <w:sz w:val="20"/>
                <w:szCs w:val="20"/>
                <w:u w:val="single"/>
              </w:rPr>
              <w:t>Jovens atendidos</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450.000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1.050.000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AC78AE" w:rsidRDefault="001F45E1" w:rsidP="00AC78AE">
            <w:pPr>
              <w:pStyle w:val="Contedodatabela"/>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XXXX </w:t>
            </w:r>
            <w:r w:rsidR="00AC78AE">
              <w:rPr>
                <w:rFonts w:ascii="Arial" w:hAnsi="Arial" w:cs="Arial"/>
                <w:sz w:val="20"/>
                <w:szCs w:val="20"/>
              </w:rPr>
              <w:t xml:space="preserve">Monitoramento da frequência escolar e realização de busca ativa em casos de risco de </w:t>
            </w:r>
          </w:p>
          <w:p w:rsidR="00AC78AE" w:rsidRDefault="00AC78AE" w:rsidP="00AC78AE">
            <w:pPr>
              <w:pStyle w:val="Contedodatabela"/>
              <w:jc w:val="both"/>
            </w:pPr>
            <w:r>
              <w:rPr>
                <w:rFonts w:ascii="Arial" w:hAnsi="Arial" w:cs="Arial"/>
                <w:sz w:val="20"/>
                <w:szCs w:val="20"/>
              </w:rPr>
              <w:lastRenderedPageBreak/>
              <w:t xml:space="preserve">evasão escolar, de crianças e adolescentes matriculados na rede municipal, do 6º ao 5º ano, </w:t>
            </w:r>
            <w:r>
              <w:rPr>
                <w:rFonts w:ascii="Arial" w:hAnsi="Arial" w:cs="Arial"/>
                <w:sz w:val="20"/>
                <w:szCs w:val="20"/>
                <w:u w:val="single"/>
              </w:rPr>
              <w:t>Alunos / adolescentes beneficiados</w:t>
            </w:r>
            <w:r>
              <w:rPr>
                <w:rFonts w:ascii="Arial" w:hAnsi="Arial" w:cs="Arial"/>
                <w:sz w:val="20"/>
                <w:szCs w:val="20"/>
              </w:rPr>
              <w:t xml:space="preserve"> (por percentual de matrícula)</w:t>
            </w:r>
          </w:p>
          <w:p w:rsidR="00BC0EB5" w:rsidRDefault="00BC0EB5">
            <w:pPr>
              <w:pStyle w:val="Contedodatabela"/>
              <w:jc w:val="both"/>
            </w:pP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1.000.000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3.000.000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 xml:space="preserve">XXXX Implantação da </w:t>
            </w:r>
            <w:r w:rsidR="00AC78AE">
              <w:rPr>
                <w:rFonts w:ascii="Arial" w:hAnsi="Arial" w:cs="Arial"/>
                <w:sz w:val="20"/>
                <w:szCs w:val="20"/>
              </w:rPr>
              <w:t>R</w:t>
            </w:r>
            <w:r>
              <w:rPr>
                <w:rFonts w:ascii="Arial" w:hAnsi="Arial" w:cs="Arial"/>
                <w:sz w:val="20"/>
                <w:szCs w:val="20"/>
              </w:rPr>
              <w:t xml:space="preserve">ede de </w:t>
            </w:r>
            <w:r w:rsidR="00AC78AE">
              <w:rPr>
                <w:rFonts w:ascii="Arial" w:hAnsi="Arial" w:cs="Arial"/>
                <w:sz w:val="20"/>
                <w:szCs w:val="20"/>
              </w:rPr>
              <w:t>A</w:t>
            </w:r>
            <w:r>
              <w:rPr>
                <w:rFonts w:ascii="Arial" w:hAnsi="Arial" w:cs="Arial"/>
                <w:sz w:val="20"/>
                <w:szCs w:val="20"/>
              </w:rPr>
              <w:t xml:space="preserve">tendimento </w:t>
            </w:r>
            <w:r w:rsidR="00AC78AE">
              <w:rPr>
                <w:rFonts w:ascii="Arial" w:hAnsi="Arial" w:cs="Arial"/>
                <w:sz w:val="20"/>
                <w:szCs w:val="20"/>
              </w:rPr>
              <w:t>P</w:t>
            </w:r>
            <w:r>
              <w:rPr>
                <w:rFonts w:ascii="Arial" w:hAnsi="Arial" w:cs="Arial"/>
                <w:sz w:val="20"/>
                <w:szCs w:val="20"/>
              </w:rPr>
              <w:t xml:space="preserve">sicossocial </w:t>
            </w:r>
            <w:proofErr w:type="spellStart"/>
            <w:r w:rsidR="00AC78AE">
              <w:rPr>
                <w:rFonts w:ascii="Arial" w:hAnsi="Arial" w:cs="Arial"/>
                <w:sz w:val="20"/>
                <w:szCs w:val="20"/>
              </w:rPr>
              <w:t>À</w:t>
            </w:r>
            <w:r>
              <w:rPr>
                <w:rFonts w:ascii="Arial" w:hAnsi="Arial" w:cs="Arial"/>
                <w:sz w:val="20"/>
                <w:szCs w:val="20"/>
              </w:rPr>
              <w:t>lcool</w:t>
            </w:r>
            <w:proofErr w:type="spellEnd"/>
            <w:r>
              <w:rPr>
                <w:rFonts w:ascii="Arial" w:hAnsi="Arial" w:cs="Arial"/>
                <w:sz w:val="20"/>
                <w:szCs w:val="20"/>
              </w:rPr>
              <w:t xml:space="preserve"> e </w:t>
            </w:r>
            <w:r w:rsidR="00AC78AE">
              <w:rPr>
                <w:rFonts w:ascii="Arial" w:hAnsi="Arial" w:cs="Arial"/>
                <w:sz w:val="20"/>
                <w:szCs w:val="20"/>
              </w:rPr>
              <w:t>D</w:t>
            </w:r>
            <w:r>
              <w:rPr>
                <w:rFonts w:ascii="Arial" w:hAnsi="Arial" w:cs="Arial"/>
                <w:sz w:val="20"/>
                <w:szCs w:val="20"/>
              </w:rPr>
              <w:t>rogas (</w:t>
            </w:r>
            <w:proofErr w:type="spellStart"/>
            <w:r w:rsidR="00AC78AE">
              <w:rPr>
                <w:rFonts w:ascii="Arial" w:hAnsi="Arial" w:cs="Arial"/>
                <w:sz w:val="20"/>
                <w:szCs w:val="20"/>
              </w:rPr>
              <w:t>C</w:t>
            </w:r>
            <w:r>
              <w:rPr>
                <w:rFonts w:ascii="Arial" w:hAnsi="Arial" w:cs="Arial"/>
                <w:sz w:val="20"/>
                <w:szCs w:val="20"/>
              </w:rPr>
              <w:t>aps</w:t>
            </w:r>
            <w:proofErr w:type="spellEnd"/>
            <w:r>
              <w:rPr>
                <w:rFonts w:ascii="Arial" w:hAnsi="Arial" w:cs="Arial"/>
                <w:sz w:val="20"/>
                <w:szCs w:val="20"/>
              </w:rPr>
              <w:t>-AD) para atendimento a adolescentes.</w:t>
            </w:r>
          </w:p>
          <w:p w:rsidR="00BC0EB5" w:rsidRDefault="001F45E1">
            <w:pPr>
              <w:pStyle w:val="Contedodatabela"/>
              <w:jc w:val="both"/>
            </w:pPr>
            <w:r>
              <w:rPr>
                <w:rFonts w:ascii="Arial" w:hAnsi="Arial" w:cs="Arial"/>
                <w:sz w:val="20"/>
                <w:szCs w:val="20"/>
                <w:u w:val="single"/>
              </w:rPr>
              <w:t>Equipamentos implantados</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F1166B">
            <w:pPr>
              <w:pStyle w:val="Contedodatabela"/>
              <w:jc w:val="center"/>
            </w:pPr>
            <w:r>
              <w:rPr>
                <w:rFonts w:ascii="Arial" w:hAnsi="Arial" w:cs="Arial"/>
                <w:sz w:val="16"/>
                <w:szCs w:val="16"/>
              </w:rPr>
              <w:t>2</w:t>
            </w:r>
            <w:r w:rsidR="001F45E1">
              <w:rPr>
                <w:rFonts w:ascii="Arial" w:hAnsi="Arial" w:cs="Arial"/>
                <w:sz w:val="16"/>
                <w:szCs w:val="16"/>
              </w:rPr>
              <w:t>00.000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bookmarkStart w:id="0" w:name="_GoBack"/>
            <w:bookmarkEnd w:id="0"/>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Mediação de conflitos e proteção a adolescentes ameaçados.</w:t>
            </w:r>
          </w:p>
          <w:p w:rsidR="00BC0EB5" w:rsidRDefault="001F45E1">
            <w:pPr>
              <w:pStyle w:val="Contedodatabela"/>
              <w:jc w:val="both"/>
            </w:pPr>
            <w:r>
              <w:rPr>
                <w:rFonts w:ascii="Arial" w:hAnsi="Arial" w:cs="Arial"/>
                <w:sz w:val="20"/>
                <w:szCs w:val="20"/>
                <w:u w:val="single"/>
              </w:rPr>
              <w:t>Adolescentes assistidos</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1.000.000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3.000.000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XXXX Desenvolvimento do serviço de acompanhamento comunitário de medidas socioeducativas em meio aberto, em parceria com a sociedade civil.</w:t>
            </w:r>
          </w:p>
          <w:p w:rsidR="00BC0EB5" w:rsidRDefault="001F45E1">
            <w:pPr>
              <w:pStyle w:val="Contedodatabela"/>
              <w:jc w:val="both"/>
            </w:pPr>
            <w:r>
              <w:rPr>
                <w:rFonts w:ascii="Arial" w:hAnsi="Arial" w:cs="Arial"/>
                <w:sz w:val="20"/>
                <w:szCs w:val="20"/>
                <w:u w:val="single"/>
              </w:rPr>
              <w:t>Adolescentes atendidos</w:t>
            </w:r>
          </w:p>
        </w:tc>
        <w:tc>
          <w:tcPr>
            <w:tcW w:w="9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800.000</w:t>
            </w:r>
          </w:p>
        </w:tc>
        <w:tc>
          <w:tcPr>
            <w:tcW w:w="1077"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pStyle w:val="Contedodatabela"/>
              <w:jc w:val="center"/>
            </w:pPr>
            <w:r>
              <w:rPr>
                <w:rFonts w:ascii="Arial" w:hAnsi="Arial" w:cs="Arial"/>
                <w:sz w:val="16"/>
                <w:szCs w:val="16"/>
              </w:rPr>
              <w:t>2.400.000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bl>
    <w:p w:rsidR="00BC0EB5" w:rsidRDefault="001F45E1">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C0EB5" w:rsidRDefault="00BC0EB5">
      <w:pPr>
        <w:suppressAutoHyphens w:val="0"/>
        <w:spacing w:before="240" w:after="200"/>
        <w:jc w:val="both"/>
        <w:textAlignment w:val="auto"/>
        <w:rPr>
          <w:rFonts w:ascii="Arial" w:hAnsi="Arial" w:cs="Arial"/>
        </w:rPr>
      </w:pPr>
    </w:p>
    <w:p w:rsidR="00BC0EB5" w:rsidRDefault="00BC0EB5">
      <w:pPr>
        <w:suppressAutoHyphens w:val="0"/>
        <w:spacing w:before="240" w:after="200"/>
        <w:jc w:val="both"/>
        <w:textAlignment w:val="auto"/>
        <w:rPr>
          <w:rFonts w:ascii="Arial" w:hAnsi="Arial" w:cs="Arial"/>
        </w:rPr>
      </w:pPr>
    </w:p>
    <w:p w:rsidR="00BC0EB5" w:rsidRDefault="00BC0EB5">
      <w:pPr>
        <w:suppressAutoHyphens w:val="0"/>
        <w:spacing w:before="240" w:after="200"/>
        <w:jc w:val="both"/>
        <w:textAlignment w:val="auto"/>
        <w:rPr>
          <w:rFonts w:ascii="Arial" w:hAnsi="Arial" w:cs="Arial"/>
        </w:rPr>
      </w:pPr>
    </w:p>
    <w:p w:rsidR="00BC0EB5" w:rsidRDefault="00BC0EB5">
      <w:pPr>
        <w:suppressAutoHyphens w:val="0"/>
        <w:spacing w:before="240" w:after="200"/>
        <w:jc w:val="both"/>
        <w:textAlignment w:val="auto"/>
        <w:rPr>
          <w:rFonts w:ascii="Arial" w:hAnsi="Arial" w:cs="Arial"/>
        </w:rPr>
      </w:pPr>
    </w:p>
    <w:p w:rsidR="00BC0EB5" w:rsidRDefault="00BC0EB5">
      <w:pPr>
        <w:suppressAutoHyphens w:val="0"/>
        <w:spacing w:before="240" w:after="200"/>
        <w:jc w:val="both"/>
        <w:textAlignment w:val="auto"/>
        <w:rPr>
          <w:rFonts w:ascii="Arial" w:hAnsi="Arial" w:cs="Arial"/>
        </w:rPr>
      </w:pPr>
    </w:p>
    <w:p w:rsidR="00BC0EB5" w:rsidRDefault="001F45E1">
      <w:pPr>
        <w:suppressAutoHyphens w:val="0"/>
        <w:spacing w:before="240" w:after="200"/>
        <w:jc w:val="both"/>
        <w:textAlignment w:val="auto"/>
      </w:pPr>
      <w:r>
        <w:rPr>
          <w:rFonts w:ascii="Arial" w:eastAsia="Times New Roman" w:hAnsi="Arial" w:cs="Arial"/>
          <w:b/>
          <w:bCs/>
          <w:lang w:eastAsia="pt-BR" w:bidi="ar-SA"/>
        </w:rPr>
        <w:lastRenderedPageBreak/>
        <w:t xml:space="preserve">Art. 4º. </w:t>
      </w:r>
      <w:r>
        <w:rPr>
          <w:rFonts w:ascii="Arial" w:eastAsia="Times New Roman" w:hAnsi="Arial" w:cs="Arial"/>
          <w:lang w:eastAsia="pt-BR" w:bidi="ar-SA"/>
        </w:rPr>
        <w:t xml:space="preserve">Os recursos financeiros necessários à implementação do Programa e das Ações referidas no artigo 3º, decorrerão da anulação parcial da ação abaixo especificada, que passará constar os seguintes valores: </w:t>
      </w:r>
    </w:p>
    <w:p w:rsidR="00BC0EB5" w:rsidRDefault="001F45E1">
      <w:pPr>
        <w:suppressAutoHyphens w:val="0"/>
        <w:spacing w:before="240" w:after="200"/>
        <w:textAlignment w:val="auto"/>
      </w:pPr>
      <w:r>
        <w:rPr>
          <w:rFonts w:ascii="Arial" w:eastAsia="Times New Roman" w:hAnsi="Arial" w:cs="Arial"/>
          <w:b/>
          <w:bCs/>
          <w:lang w:eastAsia="pt-BR" w:bidi="ar-SA"/>
        </w:rPr>
        <w:t>Relatório VI - Regionalização das Ações e Metas Financeiras dos Programa Finalísticos</w:t>
      </w:r>
      <w:r>
        <w:rPr>
          <w:rFonts w:ascii="Arial" w:eastAsia="Times New Roman" w:hAnsi="Arial" w:cs="Arial"/>
          <w:b/>
          <w:bCs/>
          <w:lang w:eastAsia="pt-BR" w:bidi="ar-SA"/>
        </w:rPr>
        <w:tab/>
      </w:r>
    </w:p>
    <w:tbl>
      <w:tblPr>
        <w:tblW w:w="0" w:type="auto"/>
        <w:tblInd w:w="-881" w:type="dxa"/>
        <w:tblLayout w:type="fixed"/>
        <w:tblCellMar>
          <w:top w:w="55" w:type="dxa"/>
          <w:left w:w="55" w:type="dxa"/>
          <w:bottom w:w="55" w:type="dxa"/>
          <w:right w:w="55" w:type="dxa"/>
        </w:tblCellMar>
        <w:tblLook w:val="0000" w:firstRow="0" w:lastRow="0" w:firstColumn="0" w:lastColumn="0" w:noHBand="0" w:noVBand="0"/>
      </w:tblPr>
      <w:tblGrid>
        <w:gridCol w:w="788"/>
        <w:gridCol w:w="2789"/>
        <w:gridCol w:w="1019"/>
        <w:gridCol w:w="962"/>
        <w:gridCol w:w="1423"/>
        <w:gridCol w:w="1404"/>
        <w:gridCol w:w="1423"/>
        <w:gridCol w:w="1423"/>
        <w:gridCol w:w="1404"/>
        <w:gridCol w:w="1365"/>
        <w:gridCol w:w="1489"/>
      </w:tblGrid>
      <w:tr w:rsidR="00BC0EB5">
        <w:tc>
          <w:tcPr>
            <w:tcW w:w="3577" w:type="dxa"/>
            <w:gridSpan w:val="2"/>
            <w:tcBorders>
              <w:top w:val="single" w:sz="1" w:space="0" w:color="000000"/>
              <w:left w:val="single" w:sz="1" w:space="0" w:color="000000"/>
              <w:bottom w:val="single" w:sz="1" w:space="0" w:color="000000"/>
            </w:tcBorders>
            <w:shd w:val="clear" w:color="auto" w:fill="auto"/>
          </w:tcPr>
          <w:p w:rsidR="00BC0EB5" w:rsidRDefault="001F45E1">
            <w:pPr>
              <w:pStyle w:val="Contedodatabela"/>
            </w:pPr>
            <w:r>
              <w:rPr>
                <w:rFonts w:ascii="Arial" w:hAnsi="Arial" w:cs="Arial"/>
                <w:sz w:val="20"/>
                <w:szCs w:val="20"/>
              </w:rPr>
              <w:t xml:space="preserve">PROG.   Descrição do Programa </w:t>
            </w:r>
          </w:p>
        </w:tc>
        <w:tc>
          <w:tcPr>
            <w:tcW w:w="1981" w:type="dxa"/>
            <w:gridSpan w:val="2"/>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Município</w:t>
            </w:r>
          </w:p>
        </w:tc>
        <w:tc>
          <w:tcPr>
            <w:tcW w:w="1423"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 Centro</w:t>
            </w:r>
          </w:p>
        </w:tc>
        <w:tc>
          <w:tcPr>
            <w:tcW w:w="1404"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II</w:t>
            </w:r>
          </w:p>
        </w:tc>
        <w:tc>
          <w:tcPr>
            <w:tcW w:w="1423"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III</w:t>
            </w:r>
          </w:p>
        </w:tc>
        <w:tc>
          <w:tcPr>
            <w:tcW w:w="1423"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IV</w:t>
            </w:r>
          </w:p>
        </w:tc>
        <w:tc>
          <w:tcPr>
            <w:tcW w:w="1404"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V</w:t>
            </w:r>
          </w:p>
        </w:tc>
        <w:tc>
          <w:tcPr>
            <w:tcW w:w="1365" w:type="dxa"/>
            <w:tcBorders>
              <w:top w:val="single" w:sz="1" w:space="0" w:color="000000"/>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20"/>
                <w:szCs w:val="20"/>
              </w:rPr>
              <w:t>Regional V</w:t>
            </w:r>
          </w:p>
        </w:tc>
        <w:tc>
          <w:tcPr>
            <w:tcW w:w="1489" w:type="dxa"/>
            <w:tcBorders>
              <w:top w:val="single" w:sz="1" w:space="0" w:color="000000"/>
              <w:left w:val="single" w:sz="1" w:space="0" w:color="000000"/>
              <w:bottom w:val="single" w:sz="1" w:space="0" w:color="000000"/>
              <w:right w:val="single" w:sz="1" w:space="0" w:color="000000"/>
            </w:tcBorders>
            <w:shd w:val="clear" w:color="auto" w:fill="auto"/>
          </w:tcPr>
          <w:p w:rsidR="00BC0EB5" w:rsidRDefault="001F45E1">
            <w:pPr>
              <w:pStyle w:val="Contedodatabela"/>
              <w:jc w:val="center"/>
            </w:pPr>
            <w:r>
              <w:rPr>
                <w:rFonts w:ascii="Arial" w:hAnsi="Arial" w:cs="Arial"/>
                <w:sz w:val="20"/>
                <w:szCs w:val="20"/>
              </w:rPr>
              <w:t>Regional VI</w:t>
            </w: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pPr>
            <w:r>
              <w:rPr>
                <w:rFonts w:ascii="Arial" w:eastAsia="Arial" w:hAnsi="Arial" w:cs="Arial"/>
                <w:sz w:val="20"/>
                <w:szCs w:val="20"/>
              </w:rPr>
              <w:t xml:space="preserve">          </w:t>
            </w:r>
            <w:r>
              <w:rPr>
                <w:rFonts w:ascii="Arial" w:hAnsi="Arial" w:cs="Arial"/>
                <w:sz w:val="20"/>
                <w:szCs w:val="20"/>
              </w:rPr>
              <w:t>Ação      Descrição da ação</w:t>
            </w:r>
          </w:p>
        </w:tc>
        <w:tc>
          <w:tcPr>
            <w:tcW w:w="1981" w:type="dxa"/>
            <w:gridSpan w:val="2"/>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 xml:space="preserve">2018   </w:t>
            </w:r>
            <w:r w:rsidR="005F7187">
              <w:rPr>
                <w:rFonts w:ascii="Arial" w:hAnsi="Arial" w:cs="Arial"/>
                <w:sz w:val="16"/>
                <w:szCs w:val="16"/>
              </w:rPr>
              <w:t xml:space="preserve">         2019-2021</w:t>
            </w:r>
            <w:r>
              <w:rPr>
                <w:rFonts w:ascii="Arial" w:hAnsi="Arial" w:cs="Arial"/>
                <w:sz w:val="16"/>
                <w:szCs w:val="16"/>
              </w:rPr>
              <w:t xml:space="preserve"> </w:t>
            </w:r>
          </w:p>
        </w:tc>
        <w:tc>
          <w:tcPr>
            <w:tcW w:w="1423"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2019-2021</w:t>
            </w:r>
          </w:p>
        </w:tc>
        <w:tc>
          <w:tcPr>
            <w:tcW w:w="1404"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23"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23"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04"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365" w:type="dxa"/>
            <w:tcBorders>
              <w:left w:val="single" w:sz="1" w:space="0" w:color="000000"/>
              <w:bottom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c>
          <w:tcPr>
            <w:tcW w:w="1489" w:type="dxa"/>
            <w:tcBorders>
              <w:left w:val="single" w:sz="1" w:space="0" w:color="000000"/>
              <w:bottom w:val="single" w:sz="1" w:space="0" w:color="000000"/>
              <w:right w:val="single" w:sz="1" w:space="0" w:color="000000"/>
            </w:tcBorders>
            <w:shd w:val="clear" w:color="auto" w:fill="auto"/>
          </w:tcPr>
          <w:p w:rsidR="00BC0EB5" w:rsidRDefault="001F45E1">
            <w:pPr>
              <w:pStyle w:val="Contedodatabela"/>
              <w:jc w:val="center"/>
            </w:pPr>
            <w:r>
              <w:rPr>
                <w:rFonts w:ascii="Arial" w:hAnsi="Arial" w:cs="Arial"/>
                <w:sz w:val="16"/>
                <w:szCs w:val="16"/>
              </w:rPr>
              <w:t>2018  2019-2021</w:t>
            </w:r>
          </w:p>
        </w:tc>
      </w:tr>
      <w:tr w:rsidR="00BC0EB5">
        <w:tc>
          <w:tcPr>
            <w:tcW w:w="788" w:type="dxa"/>
            <w:tcBorders>
              <w:left w:val="single" w:sz="1" w:space="0" w:color="000000"/>
              <w:bottom w:val="single" w:sz="1" w:space="0" w:color="000000"/>
            </w:tcBorders>
            <w:shd w:val="clear" w:color="auto" w:fill="auto"/>
          </w:tcPr>
          <w:p w:rsidR="00BC0EB5" w:rsidRDefault="001F45E1">
            <w:pPr>
              <w:pStyle w:val="Contedodatabela"/>
            </w:pPr>
            <w:r>
              <w:rPr>
                <w:rFonts w:ascii="Arial" w:eastAsia="Arial" w:hAnsi="Arial" w:cs="Arial"/>
                <w:sz w:val="20"/>
                <w:szCs w:val="20"/>
              </w:rPr>
              <w:t xml:space="preserve">               </w:t>
            </w:r>
          </w:p>
        </w:tc>
        <w:tc>
          <w:tcPr>
            <w:tcW w:w="2789"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sz w:val="20"/>
                <w:szCs w:val="20"/>
              </w:rPr>
              <w:t>Produto/ Unidade de medida</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962"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788" w:type="dxa"/>
            <w:tcBorders>
              <w:left w:val="single" w:sz="1" w:space="0" w:color="000000"/>
              <w:bottom w:val="single" w:sz="1" w:space="0" w:color="000000"/>
            </w:tcBorders>
            <w:shd w:val="clear" w:color="auto" w:fill="auto"/>
          </w:tcPr>
          <w:p w:rsidR="00BC0EB5" w:rsidRDefault="001F45E1">
            <w:pPr>
              <w:pStyle w:val="Contedodatabela"/>
            </w:pPr>
            <w:r>
              <w:rPr>
                <w:rFonts w:ascii="Arial" w:hAnsi="Arial" w:cs="Arial"/>
                <w:b/>
                <w:bCs/>
                <w:sz w:val="20"/>
                <w:szCs w:val="20"/>
                <w:u w:val="single"/>
              </w:rPr>
              <w:t>0176</w:t>
            </w:r>
            <w:r>
              <w:rPr>
                <w:rFonts w:ascii="Arial" w:hAnsi="Arial" w:cs="Arial"/>
                <w:sz w:val="20"/>
                <w:szCs w:val="20"/>
              </w:rPr>
              <w:t xml:space="preserve"> </w:t>
            </w:r>
          </w:p>
        </w:tc>
        <w:tc>
          <w:tcPr>
            <w:tcW w:w="2789" w:type="dxa"/>
            <w:tcBorders>
              <w:left w:val="single" w:sz="1" w:space="0" w:color="000000"/>
              <w:bottom w:val="single" w:sz="1" w:space="0" w:color="000000"/>
            </w:tcBorders>
            <w:shd w:val="clear" w:color="auto" w:fill="auto"/>
          </w:tcPr>
          <w:p w:rsidR="00BC0EB5" w:rsidRDefault="001F45E1">
            <w:r>
              <w:rPr>
                <w:rFonts w:ascii="Arial" w:hAnsi="Arial" w:cs="Arial"/>
                <w:b/>
                <w:bCs/>
                <w:sz w:val="20"/>
                <w:szCs w:val="20"/>
                <w:u w:val="single"/>
              </w:rPr>
              <w:t>COMUNICAÇÃO INSTITUCIONAL E APOIO ÀS POLÍTICAS PÚBLICAS.</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962"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r w:rsidR="00BC0EB5">
        <w:tc>
          <w:tcPr>
            <w:tcW w:w="3577" w:type="dxa"/>
            <w:gridSpan w:val="2"/>
            <w:tcBorders>
              <w:left w:val="single" w:sz="1" w:space="0" w:color="000000"/>
              <w:bottom w:val="single" w:sz="1" w:space="0" w:color="000000"/>
            </w:tcBorders>
            <w:shd w:val="clear" w:color="auto" w:fill="auto"/>
          </w:tcPr>
          <w:p w:rsidR="00BC0EB5" w:rsidRDefault="001F45E1">
            <w:pPr>
              <w:pStyle w:val="Contedodatabela"/>
              <w:jc w:val="both"/>
            </w:pPr>
            <w:r>
              <w:rPr>
                <w:rFonts w:ascii="Arial" w:eastAsia="Arial" w:hAnsi="Arial" w:cs="Arial"/>
                <w:sz w:val="20"/>
                <w:szCs w:val="20"/>
              </w:rPr>
              <w:t xml:space="preserve">    </w:t>
            </w:r>
            <w:r>
              <w:rPr>
                <w:rFonts w:ascii="Arial" w:hAnsi="Arial" w:cs="Arial"/>
                <w:sz w:val="20"/>
                <w:szCs w:val="20"/>
              </w:rPr>
              <w:t>2475 Criação, produção e veiculação de ações do governo municipal.</w:t>
            </w:r>
          </w:p>
          <w:p w:rsidR="00BC0EB5" w:rsidRDefault="001F45E1">
            <w:pPr>
              <w:pStyle w:val="Contedodatabela"/>
              <w:jc w:val="both"/>
            </w:pPr>
            <w:r>
              <w:rPr>
                <w:rFonts w:ascii="Arial" w:hAnsi="Arial" w:cs="Arial"/>
                <w:sz w:val="20"/>
                <w:szCs w:val="20"/>
                <w:u w:val="single"/>
              </w:rPr>
              <w:t>Campanha realizada (unidade)</w:t>
            </w:r>
          </w:p>
        </w:tc>
        <w:tc>
          <w:tcPr>
            <w:tcW w:w="1019"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jc w:val="center"/>
            </w:pPr>
            <w:r>
              <w:rPr>
                <w:rFonts w:ascii="Arial" w:hAnsi="Arial" w:cs="Arial"/>
                <w:sz w:val="16"/>
                <w:szCs w:val="16"/>
              </w:rPr>
              <w:t>15.351.500</w:t>
            </w:r>
          </w:p>
        </w:tc>
        <w:tc>
          <w:tcPr>
            <w:tcW w:w="962"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BC0EB5">
            <w:pPr>
              <w:pStyle w:val="Contedodatabela"/>
              <w:jc w:val="center"/>
              <w:rPr>
                <w:rFonts w:ascii="Arial" w:hAnsi="Arial" w:cs="Arial"/>
                <w:sz w:val="16"/>
                <w:szCs w:val="16"/>
              </w:rPr>
            </w:pPr>
          </w:p>
          <w:p w:rsidR="00BC0EB5" w:rsidRDefault="001F45E1">
            <w:pPr>
              <w:jc w:val="center"/>
            </w:pPr>
            <w:r>
              <w:rPr>
                <w:rFonts w:ascii="Arial" w:hAnsi="Arial" w:cs="Arial"/>
                <w:sz w:val="16"/>
                <w:szCs w:val="16"/>
              </w:rPr>
              <w:t>51.754.500</w:t>
            </w: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23"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04"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365" w:type="dxa"/>
            <w:tcBorders>
              <w:left w:val="single" w:sz="1" w:space="0" w:color="000000"/>
              <w:bottom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c>
          <w:tcPr>
            <w:tcW w:w="1489" w:type="dxa"/>
            <w:tcBorders>
              <w:left w:val="single" w:sz="1" w:space="0" w:color="000000"/>
              <w:bottom w:val="single" w:sz="1" w:space="0" w:color="000000"/>
              <w:right w:val="single" w:sz="1" w:space="0" w:color="000000"/>
            </w:tcBorders>
            <w:shd w:val="clear" w:color="auto" w:fill="auto"/>
          </w:tcPr>
          <w:p w:rsidR="00BC0EB5" w:rsidRDefault="00BC0EB5">
            <w:pPr>
              <w:pStyle w:val="Contedodatabela"/>
              <w:snapToGrid w:val="0"/>
              <w:jc w:val="center"/>
              <w:rPr>
                <w:rFonts w:ascii="Arial" w:hAnsi="Arial" w:cs="Arial"/>
                <w:sz w:val="16"/>
                <w:szCs w:val="16"/>
              </w:rPr>
            </w:pPr>
          </w:p>
        </w:tc>
      </w:tr>
    </w:tbl>
    <w:p w:rsidR="00BC0EB5" w:rsidRDefault="00BC0EB5">
      <w:pPr>
        <w:rPr>
          <w:rFonts w:ascii="Arial" w:hAnsi="Arial" w:cs="Arial"/>
          <w:sz w:val="20"/>
          <w:szCs w:val="20"/>
        </w:rPr>
      </w:pPr>
    </w:p>
    <w:p w:rsidR="00BC0EB5" w:rsidRDefault="001F45E1">
      <w:pPr>
        <w:pStyle w:val="Standard"/>
        <w:jc w:val="both"/>
      </w:pPr>
      <w:r>
        <w:rPr>
          <w:rFonts w:ascii="Arial" w:eastAsia="Times New Roman" w:hAnsi="Arial" w:cs="Arial"/>
          <w:sz w:val="24"/>
        </w:rPr>
        <w:t xml:space="preserve">DEPARTAMENTO LEGISLATIVO DA CÂMARA MUNICIPAL DE FORTALEZA, EM      DE                  </w:t>
      </w:r>
      <w:proofErr w:type="spellStart"/>
      <w:r>
        <w:rPr>
          <w:rFonts w:ascii="Arial" w:eastAsia="Times New Roman" w:hAnsi="Arial" w:cs="Arial"/>
          <w:sz w:val="24"/>
        </w:rPr>
        <w:t>DE</w:t>
      </w:r>
      <w:proofErr w:type="spellEnd"/>
      <w:r>
        <w:rPr>
          <w:rFonts w:ascii="Arial" w:eastAsia="Times New Roman" w:hAnsi="Arial" w:cs="Arial"/>
          <w:sz w:val="24"/>
        </w:rPr>
        <w:t xml:space="preserve">                                            </w:t>
      </w:r>
      <w:proofErr w:type="spellStart"/>
      <w:r>
        <w:rPr>
          <w:rFonts w:ascii="Arial" w:eastAsia="Times New Roman" w:hAnsi="Arial" w:cs="Arial"/>
          <w:sz w:val="24"/>
        </w:rPr>
        <w:t>DE</w:t>
      </w:r>
      <w:proofErr w:type="spellEnd"/>
      <w:r>
        <w:rPr>
          <w:rFonts w:ascii="Arial" w:eastAsia="Times New Roman" w:hAnsi="Arial" w:cs="Arial"/>
          <w:sz w:val="24"/>
        </w:rPr>
        <w:t xml:space="preserve"> 2017.</w:t>
      </w:r>
    </w:p>
    <w:p w:rsidR="00BC0EB5" w:rsidRDefault="00BC0EB5">
      <w:pPr>
        <w:pStyle w:val="Standard"/>
        <w:jc w:val="both"/>
        <w:rPr>
          <w:rFonts w:ascii="Arial" w:eastAsia="Times New Roman" w:hAnsi="Arial" w:cs="Arial"/>
          <w:sz w:val="24"/>
        </w:rPr>
      </w:pPr>
    </w:p>
    <w:p w:rsidR="00BC0EB5" w:rsidRDefault="001F45E1">
      <w:pPr>
        <w:jc w:val="center"/>
      </w:pPr>
      <w:r>
        <w:rPr>
          <w:rFonts w:ascii="Arial" w:hAnsi="Arial" w:cs="Arial"/>
          <w:b/>
          <w:color w:val="000000"/>
        </w:rPr>
        <w:t>Vereador Guilherme Sampaio - PT</w:t>
      </w:r>
    </w:p>
    <w:p w:rsidR="00BC0EB5" w:rsidRDefault="00BC0EB5">
      <w:pPr>
        <w:spacing w:after="200"/>
        <w:jc w:val="center"/>
        <w:rPr>
          <w:rFonts w:ascii="Arial" w:hAnsi="Arial" w:cs="Arial"/>
          <w:b/>
          <w:color w:val="000000"/>
        </w:rPr>
      </w:pPr>
    </w:p>
    <w:p w:rsidR="00F1166B" w:rsidRDefault="00F1166B">
      <w:pPr>
        <w:spacing w:after="200"/>
        <w:jc w:val="center"/>
        <w:rPr>
          <w:rFonts w:ascii="Arial" w:hAnsi="Arial" w:cs="Arial"/>
          <w:b/>
          <w:color w:val="000000"/>
        </w:rPr>
      </w:pPr>
    </w:p>
    <w:p w:rsidR="00F1166B" w:rsidRDefault="00F1166B">
      <w:pPr>
        <w:spacing w:after="200"/>
        <w:jc w:val="center"/>
        <w:rPr>
          <w:rFonts w:ascii="Arial" w:hAnsi="Arial" w:cs="Arial"/>
          <w:b/>
          <w:color w:val="000000"/>
        </w:rPr>
      </w:pPr>
    </w:p>
    <w:p w:rsidR="00F1166B" w:rsidRDefault="00F1166B">
      <w:pPr>
        <w:spacing w:after="200"/>
        <w:jc w:val="center"/>
        <w:rPr>
          <w:rFonts w:ascii="Arial" w:hAnsi="Arial" w:cs="Arial"/>
          <w:b/>
          <w:color w:val="000000"/>
        </w:rPr>
      </w:pPr>
    </w:p>
    <w:p w:rsidR="00F1166B" w:rsidRDefault="00F1166B">
      <w:pPr>
        <w:spacing w:after="200"/>
        <w:jc w:val="center"/>
        <w:rPr>
          <w:rFonts w:ascii="Arial" w:hAnsi="Arial" w:cs="Arial"/>
          <w:b/>
          <w:color w:val="000000"/>
        </w:rPr>
      </w:pPr>
    </w:p>
    <w:p w:rsidR="00BC0EB5" w:rsidRDefault="001F45E1">
      <w:pPr>
        <w:spacing w:after="200"/>
        <w:jc w:val="center"/>
      </w:pPr>
      <w:r>
        <w:rPr>
          <w:rFonts w:ascii="Arial" w:hAnsi="Arial" w:cs="Arial"/>
          <w:b/>
          <w:color w:val="000000"/>
        </w:rPr>
        <w:lastRenderedPageBreak/>
        <w:t>JUSTIFICATIVA</w:t>
      </w:r>
    </w:p>
    <w:p w:rsidR="00F1166B" w:rsidRDefault="001F45E1">
      <w:pPr>
        <w:spacing w:after="200"/>
        <w:jc w:val="both"/>
        <w:rPr>
          <w:rFonts w:ascii="Arial" w:hAnsi="Arial" w:cs="Arial"/>
          <w:color w:val="000000"/>
        </w:rPr>
      </w:pPr>
      <w:r>
        <w:rPr>
          <w:rFonts w:ascii="Arial" w:hAnsi="Arial" w:cs="Arial"/>
          <w:color w:val="000000"/>
        </w:rPr>
        <w:tab/>
        <w:t xml:space="preserve">Esta emenda visa criar o Programa Cada Vida Importa, a fim de contemplar </w:t>
      </w:r>
      <w:r w:rsidR="00F1166B">
        <w:rPr>
          <w:rFonts w:ascii="Arial" w:hAnsi="Arial" w:cs="Arial"/>
          <w:color w:val="000000"/>
        </w:rPr>
        <w:t xml:space="preserve">a </w:t>
      </w:r>
      <w:r>
        <w:rPr>
          <w:rFonts w:ascii="Arial" w:hAnsi="Arial" w:cs="Arial"/>
          <w:color w:val="000000"/>
        </w:rPr>
        <w:t>execu</w:t>
      </w:r>
      <w:r w:rsidR="00F1166B">
        <w:rPr>
          <w:rFonts w:ascii="Arial" w:hAnsi="Arial" w:cs="Arial"/>
          <w:color w:val="000000"/>
        </w:rPr>
        <w:t>ção</w:t>
      </w:r>
      <w:r>
        <w:rPr>
          <w:rFonts w:ascii="Arial" w:hAnsi="Arial" w:cs="Arial"/>
          <w:color w:val="000000"/>
        </w:rPr>
        <w:t xml:space="preserve"> </w:t>
      </w:r>
      <w:r w:rsidR="00F1166B">
        <w:rPr>
          <w:rFonts w:ascii="Arial" w:hAnsi="Arial" w:cs="Arial"/>
          <w:color w:val="000000"/>
        </w:rPr>
        <w:t>d</w:t>
      </w:r>
      <w:r>
        <w:rPr>
          <w:rFonts w:ascii="Arial" w:hAnsi="Arial" w:cs="Arial"/>
          <w:color w:val="000000"/>
        </w:rPr>
        <w:t xml:space="preserve">as sete recomendações propostas pelo estudo realizado pelo Comitê Cearense de Prevenção de Homicídios na Adolescência. Fortaleza, a quinta capital do Brasil em população, com 2,6 milhões de habitantes, tem o maior Índice de Homicídios na Adolescência (IHA). </w:t>
      </w:r>
      <w:r w:rsidR="00F1166B">
        <w:rPr>
          <w:rFonts w:ascii="Arial" w:hAnsi="Arial" w:cs="Arial"/>
          <w:color w:val="000000"/>
        </w:rPr>
        <w:t xml:space="preserve">Por sua vez, o </w:t>
      </w:r>
      <w:r>
        <w:rPr>
          <w:rFonts w:ascii="Arial" w:hAnsi="Arial" w:cs="Arial"/>
          <w:color w:val="000000"/>
        </w:rPr>
        <w:t xml:space="preserve">Ceará, a oitava unidade da federação mais populosa, com 8,9 milhões de moradores estimados em 2016, está em terceiro lugar entre os </w:t>
      </w:r>
      <w:r w:rsidR="00F1166B">
        <w:rPr>
          <w:rFonts w:ascii="Arial" w:hAnsi="Arial" w:cs="Arial"/>
          <w:color w:val="000000"/>
        </w:rPr>
        <w:t>E</w:t>
      </w:r>
      <w:r>
        <w:rPr>
          <w:rFonts w:ascii="Arial" w:hAnsi="Arial" w:cs="Arial"/>
          <w:color w:val="000000"/>
        </w:rPr>
        <w:t>stados com mais mortes na faixa etária de 12 a 18 anos. Em 2015, 816 meninos e meninas de 10 a 19 anos foram mortos no território cearense, sendo 387 apenas na capital</w:t>
      </w:r>
      <w:r w:rsidR="00F1166B">
        <w:rPr>
          <w:rFonts w:ascii="Arial" w:hAnsi="Arial" w:cs="Arial"/>
          <w:color w:val="000000"/>
        </w:rPr>
        <w:t>,</w:t>
      </w:r>
      <w:r>
        <w:rPr>
          <w:rFonts w:ascii="Arial" w:hAnsi="Arial" w:cs="Arial"/>
          <w:color w:val="000000"/>
        </w:rPr>
        <w:t xml:space="preserve"> segundo a Secretaria da Segurança Pública e Defesa Social. </w:t>
      </w:r>
    </w:p>
    <w:p w:rsidR="00BC0EB5" w:rsidRDefault="001F45E1" w:rsidP="00F1166B">
      <w:pPr>
        <w:spacing w:after="200"/>
        <w:ind w:firstLine="720"/>
        <w:jc w:val="both"/>
      </w:pPr>
      <w:r>
        <w:rPr>
          <w:rFonts w:ascii="Arial" w:hAnsi="Arial" w:cs="Arial"/>
          <w:color w:val="000000"/>
        </w:rPr>
        <w:t>No entanto, a violência letal não se agravou de um ano para o outro</w:t>
      </w:r>
      <w:r w:rsidR="00F1166B">
        <w:rPr>
          <w:rFonts w:ascii="Arial" w:hAnsi="Arial" w:cs="Arial"/>
          <w:color w:val="000000"/>
        </w:rPr>
        <w:t>, a</w:t>
      </w:r>
      <w:r>
        <w:rPr>
          <w:rFonts w:ascii="Arial" w:hAnsi="Arial" w:cs="Arial"/>
          <w:color w:val="000000"/>
        </w:rPr>
        <w:t xml:space="preserve">s estatísticas revelam que o problema se intensificou ao longo de mais de uma década, principalmente </w:t>
      </w:r>
      <w:r w:rsidR="00F1166B">
        <w:rPr>
          <w:rFonts w:ascii="Arial" w:hAnsi="Arial" w:cs="Arial"/>
          <w:color w:val="000000"/>
        </w:rPr>
        <w:t>para os</w:t>
      </w:r>
      <w:r>
        <w:rPr>
          <w:rFonts w:ascii="Arial" w:hAnsi="Arial" w:cs="Arial"/>
          <w:color w:val="000000"/>
        </w:rPr>
        <w:t xml:space="preserve"> adolesc</w:t>
      </w:r>
      <w:r w:rsidR="00F1166B">
        <w:rPr>
          <w:rFonts w:ascii="Arial" w:hAnsi="Arial" w:cs="Arial"/>
          <w:color w:val="000000"/>
        </w:rPr>
        <w:t>entes</w:t>
      </w:r>
      <w:r>
        <w:rPr>
          <w:rFonts w:ascii="Arial" w:hAnsi="Arial" w:cs="Arial"/>
          <w:color w:val="000000"/>
        </w:rPr>
        <w:t>. Há um desconforto com os números da violência, mas também com as interpretações disponíveis sobre a questão, ainda insuficientes ou carregadas de estereótipos. É preciso lançar luz sobre um cenário sombrio, analisar em detalhes um fenômeno que não está satisfatoriamente claro. O incômodo provocado pelas posições que o Ceará e Fortaleza ocupam no ranking de assassinatos de adolescentes levou a Assembleia Legislativa, o Governo do Estado e várias outras instituições do poder público e da sociedade civil a somarem esforços e expertises visando compreender esse fenômeno, por meio da criação do Comitê Cearense pela Prevenção de Homicídios na Adolescência.</w:t>
      </w:r>
    </w:p>
    <w:p w:rsidR="00F1166B" w:rsidRDefault="001F45E1">
      <w:pPr>
        <w:jc w:val="both"/>
        <w:rPr>
          <w:rFonts w:ascii="Arial" w:hAnsi="Arial" w:cs="Arial"/>
          <w:color w:val="000000"/>
        </w:rPr>
      </w:pPr>
      <w:r>
        <w:rPr>
          <w:rFonts w:ascii="Arial" w:hAnsi="Arial" w:cs="Arial"/>
          <w:color w:val="000000"/>
        </w:rPr>
        <w:tab/>
        <w:t>A criação do colegiado é uma tentativa de conhecer o problema em profundidade, fugindo de análises superficiais e deterministas, para propor recomendações aos diversos níveis de poder e à sociedade</w:t>
      </w:r>
      <w:r w:rsidR="00F1166B">
        <w:rPr>
          <w:rFonts w:ascii="Arial" w:hAnsi="Arial" w:cs="Arial"/>
          <w:color w:val="000000"/>
        </w:rPr>
        <w:t>.</w:t>
      </w:r>
      <w:r>
        <w:rPr>
          <w:rFonts w:ascii="Arial" w:hAnsi="Arial" w:cs="Arial"/>
          <w:color w:val="000000"/>
        </w:rPr>
        <w:tab/>
        <w:t xml:space="preserve">O Comitê é, portanto, uma instância de estudo, debate, mobilização e projeção, congregando diversos atores e instituições num esforço interinstitucional pela vida. </w:t>
      </w:r>
    </w:p>
    <w:p w:rsidR="00BC0EB5" w:rsidRDefault="001F45E1" w:rsidP="00F1166B">
      <w:pPr>
        <w:ind w:firstLine="720"/>
        <w:jc w:val="both"/>
      </w:pPr>
      <w:r>
        <w:rPr>
          <w:rFonts w:ascii="Arial" w:hAnsi="Arial" w:cs="Arial"/>
          <w:color w:val="000000"/>
        </w:rPr>
        <w:t>Implementadas as propostas ora apresentadas, acredita</w:t>
      </w:r>
      <w:r w:rsidR="00F1166B">
        <w:rPr>
          <w:rFonts w:ascii="Arial" w:hAnsi="Arial" w:cs="Arial"/>
          <w:color w:val="000000"/>
        </w:rPr>
        <w:t>-se</w:t>
      </w:r>
      <w:r>
        <w:rPr>
          <w:rFonts w:ascii="Arial" w:hAnsi="Arial" w:cs="Arial"/>
          <w:color w:val="000000"/>
        </w:rPr>
        <w:t xml:space="preserve"> que a redução de crimes de morte vai se estender para além da infância, adolescência e juventude, porque cada vida importa.</w:t>
      </w:r>
    </w:p>
    <w:p w:rsidR="00BC0EB5" w:rsidRDefault="00BC0EB5">
      <w:pPr>
        <w:jc w:val="both"/>
        <w:rPr>
          <w:rFonts w:ascii="Arial" w:hAnsi="Arial" w:cs="Arial"/>
        </w:rPr>
      </w:pPr>
    </w:p>
    <w:p w:rsidR="00BC0EB5" w:rsidRDefault="001F45E1">
      <w:pPr>
        <w:pStyle w:val="Standard"/>
        <w:jc w:val="both"/>
      </w:pPr>
      <w:r>
        <w:rPr>
          <w:rFonts w:ascii="Arial" w:eastAsia="Times New Roman" w:hAnsi="Arial" w:cs="Arial"/>
          <w:sz w:val="24"/>
        </w:rPr>
        <w:t xml:space="preserve">DEPARTAMENTO LEGISLATIVO DA CÂMARA MUNICIPAL DE FORTALEZA, EM      DE                  </w:t>
      </w:r>
      <w:proofErr w:type="spellStart"/>
      <w:r>
        <w:rPr>
          <w:rFonts w:ascii="Arial" w:eastAsia="Times New Roman" w:hAnsi="Arial" w:cs="Arial"/>
          <w:sz w:val="24"/>
        </w:rPr>
        <w:t>DE</w:t>
      </w:r>
      <w:proofErr w:type="spellEnd"/>
      <w:r>
        <w:rPr>
          <w:rFonts w:ascii="Arial" w:eastAsia="Times New Roman" w:hAnsi="Arial" w:cs="Arial"/>
          <w:sz w:val="24"/>
        </w:rPr>
        <w:t xml:space="preserve">                                            </w:t>
      </w:r>
      <w:proofErr w:type="spellStart"/>
      <w:r>
        <w:rPr>
          <w:rFonts w:ascii="Arial" w:eastAsia="Times New Roman" w:hAnsi="Arial" w:cs="Arial"/>
          <w:sz w:val="24"/>
        </w:rPr>
        <w:t>DE</w:t>
      </w:r>
      <w:proofErr w:type="spellEnd"/>
      <w:r>
        <w:rPr>
          <w:rFonts w:ascii="Arial" w:eastAsia="Times New Roman" w:hAnsi="Arial" w:cs="Arial"/>
          <w:sz w:val="24"/>
        </w:rPr>
        <w:t xml:space="preserve"> 2017.</w:t>
      </w:r>
    </w:p>
    <w:p w:rsidR="001F45E1" w:rsidRDefault="001F45E1">
      <w:pPr>
        <w:jc w:val="center"/>
      </w:pPr>
      <w:r>
        <w:rPr>
          <w:rFonts w:ascii="Arial" w:hAnsi="Arial" w:cs="Arial"/>
          <w:b/>
          <w:bCs/>
          <w:color w:val="000000"/>
        </w:rPr>
        <w:t>Vereador Guilherme Sampaio - PT</w:t>
      </w:r>
    </w:p>
    <w:sectPr w:rsidR="001F45E1">
      <w:headerReference w:type="default" r:id="rId7"/>
      <w:footerReference w:type="default" r:id="rId8"/>
      <w:headerReference w:type="first" r:id="rId9"/>
      <w:footerReference w:type="first" r:id="rId10"/>
      <w:pgSz w:w="16838" w:h="11906" w:orient="landscape"/>
      <w:pgMar w:top="1819" w:right="1701" w:bottom="1417" w:left="1701" w:header="708" w:footer="708"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A4" w:rsidRDefault="005F76A4">
      <w:r>
        <w:separator/>
      </w:r>
    </w:p>
  </w:endnote>
  <w:endnote w:type="continuationSeparator" w:id="0">
    <w:p w:rsidR="005F76A4" w:rsidRDefault="005F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0">
    <w:charset w:val="0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B5" w:rsidRDefault="001F45E1">
    <w:pPr>
      <w:pStyle w:val="Rodap1"/>
    </w:pPr>
    <w:r>
      <w:t>__________________________________________________________________________________________________________________________</w:t>
    </w:r>
  </w:p>
  <w:p w:rsidR="00BC0EB5" w:rsidRDefault="001F45E1">
    <w:pPr>
      <w:pStyle w:val="Rodap1"/>
      <w:jc w:val="center"/>
    </w:pPr>
    <w:r>
      <w:t>CÂMARA MUNICIPAL DE FORTALEZA -</w:t>
    </w:r>
  </w:p>
  <w:p w:rsidR="00BC0EB5" w:rsidRDefault="001F45E1">
    <w:pPr>
      <w:pStyle w:val="Rodap1"/>
      <w:jc w:val="center"/>
    </w:pPr>
    <w:r>
      <w:t xml:space="preserve">Rua Dr. Thompson </w:t>
    </w:r>
    <w:proofErr w:type="spellStart"/>
    <w:r>
      <w:t>Bulcão</w:t>
    </w:r>
    <w:proofErr w:type="spellEnd"/>
    <w:r>
      <w:t xml:space="preserve">, 830 – </w:t>
    </w:r>
    <w:proofErr w:type="spellStart"/>
    <w:r>
      <w:t>Patriolino</w:t>
    </w:r>
    <w:proofErr w:type="spellEnd"/>
    <w:r>
      <w:t xml:space="preserve"> Ribeiro – CEP: 60830-460</w:t>
    </w:r>
  </w:p>
  <w:p w:rsidR="00BC0EB5" w:rsidRDefault="001F45E1">
    <w:pPr>
      <w:pStyle w:val="Rodap1"/>
      <w:jc w:val="center"/>
    </w:pPr>
    <w:r>
      <w:t>Fone: (85) 3444-8300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B5" w:rsidRDefault="00BC0E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A4" w:rsidRDefault="005F76A4">
      <w:r>
        <w:separator/>
      </w:r>
    </w:p>
  </w:footnote>
  <w:footnote w:type="continuationSeparator" w:id="0">
    <w:p w:rsidR="005F76A4" w:rsidRDefault="005F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B5" w:rsidRDefault="00061FAF">
    <w:pPr>
      <w:pStyle w:val="Cabealho1"/>
    </w:pPr>
    <w:r>
      <w:rPr>
        <w:noProof/>
        <w:lang w:val="en-US" w:eastAsia="en-US" w:bidi="ar-SA"/>
      </w:rPr>
      <w:drawing>
        <wp:anchor distT="0" distB="0" distL="114300" distR="114300" simplePos="0" relativeHeight="251657728" behindDoc="0" locked="0" layoutInCell="1" allowOverlap="1">
          <wp:simplePos x="0" y="0"/>
          <wp:positionH relativeFrom="column">
            <wp:align>center</wp:align>
          </wp:positionH>
          <wp:positionV relativeFrom="paragraph">
            <wp:posOffset>-6350</wp:posOffset>
          </wp:positionV>
          <wp:extent cx="1172210" cy="609600"/>
          <wp:effectExtent l="19050" t="0" r="889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2210" cy="609600"/>
                  </a:xfrm>
                  <a:prstGeom prst="rect">
                    <a:avLst/>
                  </a:prstGeom>
                  <a:solidFill>
                    <a:srgbClr val="FFFFFF">
                      <a:alpha val="0"/>
                    </a:srgbClr>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EB5" w:rsidRDefault="00BC0E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4642CD"/>
    <w:multiLevelType w:val="multilevel"/>
    <w:tmpl w:val="80F470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9DF3A3E"/>
    <w:multiLevelType w:val="hybridMultilevel"/>
    <w:tmpl w:val="17940828"/>
    <w:lvl w:ilvl="0" w:tplc="04160013">
      <w:start w:val="1"/>
      <w:numFmt w:val="upperRoman"/>
      <w:lvlText w:val="%1."/>
      <w:lvlJc w:val="right"/>
      <w:pPr>
        <w:ind w:left="1545" w:hanging="360"/>
      </w:pPr>
    </w:lvl>
    <w:lvl w:ilvl="1" w:tplc="04160019" w:tentative="1">
      <w:start w:val="1"/>
      <w:numFmt w:val="lowerLetter"/>
      <w:lvlText w:val="%2."/>
      <w:lvlJc w:val="left"/>
      <w:pPr>
        <w:ind w:left="2265" w:hanging="360"/>
      </w:pPr>
    </w:lvl>
    <w:lvl w:ilvl="2" w:tplc="0416001B" w:tentative="1">
      <w:start w:val="1"/>
      <w:numFmt w:val="lowerRoman"/>
      <w:lvlText w:val="%3."/>
      <w:lvlJc w:val="right"/>
      <w:pPr>
        <w:ind w:left="2985" w:hanging="180"/>
      </w:pPr>
    </w:lvl>
    <w:lvl w:ilvl="3" w:tplc="0416000F" w:tentative="1">
      <w:start w:val="1"/>
      <w:numFmt w:val="decimal"/>
      <w:lvlText w:val="%4."/>
      <w:lvlJc w:val="left"/>
      <w:pPr>
        <w:ind w:left="3705" w:hanging="360"/>
      </w:pPr>
    </w:lvl>
    <w:lvl w:ilvl="4" w:tplc="04160019" w:tentative="1">
      <w:start w:val="1"/>
      <w:numFmt w:val="lowerLetter"/>
      <w:lvlText w:val="%5."/>
      <w:lvlJc w:val="left"/>
      <w:pPr>
        <w:ind w:left="4425" w:hanging="360"/>
      </w:pPr>
    </w:lvl>
    <w:lvl w:ilvl="5" w:tplc="0416001B" w:tentative="1">
      <w:start w:val="1"/>
      <w:numFmt w:val="lowerRoman"/>
      <w:lvlText w:val="%6."/>
      <w:lvlJc w:val="right"/>
      <w:pPr>
        <w:ind w:left="5145" w:hanging="180"/>
      </w:pPr>
    </w:lvl>
    <w:lvl w:ilvl="6" w:tplc="0416000F" w:tentative="1">
      <w:start w:val="1"/>
      <w:numFmt w:val="decimal"/>
      <w:lvlText w:val="%7."/>
      <w:lvlJc w:val="left"/>
      <w:pPr>
        <w:ind w:left="5865" w:hanging="360"/>
      </w:pPr>
    </w:lvl>
    <w:lvl w:ilvl="7" w:tplc="04160019" w:tentative="1">
      <w:start w:val="1"/>
      <w:numFmt w:val="lowerLetter"/>
      <w:lvlText w:val="%8."/>
      <w:lvlJc w:val="left"/>
      <w:pPr>
        <w:ind w:left="6585" w:hanging="360"/>
      </w:pPr>
    </w:lvl>
    <w:lvl w:ilvl="8" w:tplc="0416001B" w:tentative="1">
      <w:start w:val="1"/>
      <w:numFmt w:val="lowerRoman"/>
      <w:lvlText w:val="%9."/>
      <w:lvlJc w:val="right"/>
      <w:pPr>
        <w:ind w:left="73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AF"/>
    <w:rsid w:val="00061FAF"/>
    <w:rsid w:val="00125210"/>
    <w:rsid w:val="00186E21"/>
    <w:rsid w:val="001F45E1"/>
    <w:rsid w:val="002402D2"/>
    <w:rsid w:val="002C5E53"/>
    <w:rsid w:val="003D6AD9"/>
    <w:rsid w:val="003E7388"/>
    <w:rsid w:val="00467EE0"/>
    <w:rsid w:val="004D2371"/>
    <w:rsid w:val="00570591"/>
    <w:rsid w:val="005C35F5"/>
    <w:rsid w:val="005D424C"/>
    <w:rsid w:val="005F7187"/>
    <w:rsid w:val="005F76A4"/>
    <w:rsid w:val="00714EED"/>
    <w:rsid w:val="00845D2F"/>
    <w:rsid w:val="00AC78AE"/>
    <w:rsid w:val="00BC0EB5"/>
    <w:rsid w:val="00C80D01"/>
    <w:rsid w:val="00E23271"/>
    <w:rsid w:val="00F1166B"/>
    <w:rsid w:val="00FA6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026346"/>
  <w15:docId w15:val="{ED27D3BA-8E34-46DD-B8FC-395F5C29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overflowPunct w:val="0"/>
      <w:textAlignment w:val="baseline"/>
    </w:pPr>
    <w:rPr>
      <w:rFonts w:ascii="Liberation Serif" w:eastAsia="SimSun" w:hAnsi="Liberation Serif" w:cs="Mangal"/>
      <w:color w:val="00000A"/>
      <w:kern w:val="1"/>
      <w:sz w:val="24"/>
      <w:szCs w:val="24"/>
      <w:lang w:eastAsia="zh-CN" w:bidi="hi-IN"/>
    </w:rPr>
  </w:style>
  <w:style w:type="paragraph" w:styleId="Heading1">
    <w:name w:val="heading 1"/>
    <w:basedOn w:val="Ttulo2"/>
    <w:next w:val="BodyText"/>
    <w:qFormat/>
    <w:pPr>
      <w:numPr>
        <w:numId w:val="1"/>
      </w:num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TextodebaloChar">
    <w:name w:val="Texto de balão Char"/>
    <w:basedOn w:val="DefaultParagraphFont1"/>
    <w:rPr>
      <w:rFonts w:ascii="Tahoma" w:eastAsia="Tahoma" w:hAnsi="Tahoma" w:cs="Tahoma"/>
      <w:sz w:val="16"/>
    </w:rPr>
  </w:style>
  <w:style w:type="character" w:customStyle="1" w:styleId="CabealhoChar">
    <w:name w:val="Cabeçalho Char"/>
    <w:basedOn w:val="DefaultParagraphFont1"/>
  </w:style>
  <w:style w:type="character" w:customStyle="1" w:styleId="RodapChar">
    <w:name w:val="Rodapé Char"/>
    <w:basedOn w:val="DefaultParagraphFont1"/>
  </w:style>
  <w:style w:type="character" w:customStyle="1" w:styleId="Strong1">
    <w:name w:val="Strong1"/>
    <w:basedOn w:val="DefaultParagraphFont1"/>
    <w:rPr>
      <w:b/>
    </w:rPr>
  </w:style>
  <w:style w:type="character" w:customStyle="1" w:styleId="Ttulo1Char">
    <w:name w:val="Título 1 Char"/>
    <w:basedOn w:val="DefaultParagraphFont1"/>
    <w:rPr>
      <w:rFonts w:ascii="Times New Roman" w:eastAsia="Times New Roman" w:hAnsi="Times New Roman" w:cs="Times New Roman"/>
      <w:b/>
      <w:sz w:val="48"/>
    </w:rPr>
  </w:style>
  <w:style w:type="character" w:customStyle="1" w:styleId="CabealhoChar1">
    <w:name w:val="Cabeçalho Char1"/>
    <w:basedOn w:val="DefaultParagraphFont1"/>
    <w:rPr>
      <w:szCs w:val="21"/>
    </w:rPr>
  </w:style>
  <w:style w:type="character" w:customStyle="1" w:styleId="RodapChar1">
    <w:name w:val="Rodapé Char1"/>
    <w:basedOn w:val="DefaultParagraphFont1"/>
    <w:rPr>
      <w:szCs w:val="21"/>
    </w:rPr>
  </w:style>
  <w:style w:type="character" w:customStyle="1" w:styleId="yiv2149131951gmail-grame">
    <w:name w:val="yiv2149131951gmail-grame"/>
    <w:basedOn w:val="DefaultParagraphFont1"/>
  </w:style>
  <w:style w:type="character" w:customStyle="1" w:styleId="yiv2149131951gmail-spelle">
    <w:name w:val="yiv2149131951gmail-spelle"/>
    <w:basedOn w:val="DefaultParagraphFont1"/>
  </w:style>
  <w:style w:type="character" w:customStyle="1" w:styleId="apple-converted-space">
    <w:name w:val="apple-converted-space"/>
    <w:basedOn w:val="DefaultParagraphFont1"/>
  </w:style>
  <w:style w:type="paragraph" w:customStyle="1" w:styleId="Ttulo2">
    <w:name w:val="Título2"/>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pPr>
      <w:widowControl w:val="0"/>
    </w:pPr>
    <w:rPr>
      <w:rFonts w:eastAsia="Mangal"/>
    </w:rPr>
  </w:style>
  <w:style w:type="paragraph" w:styleId="Caption">
    <w:name w:val="caption"/>
    <w:basedOn w:val="Normal"/>
    <w:qFormat/>
    <w:pPr>
      <w:suppressLineNumbers/>
      <w:spacing w:before="120" w:after="120"/>
    </w:pPr>
    <w:rPr>
      <w:i/>
      <w:iCs/>
    </w:rPr>
  </w:style>
  <w:style w:type="paragraph" w:customStyle="1" w:styleId="ndice">
    <w:name w:val="Índice"/>
    <w:basedOn w:val="Normal"/>
    <w:pPr>
      <w:widowControl w:val="0"/>
    </w:pPr>
    <w:rPr>
      <w:rFonts w:eastAsia="Mangal"/>
    </w:rPr>
  </w:style>
  <w:style w:type="paragraph" w:customStyle="1" w:styleId="Ttulo1">
    <w:name w:val="Título1"/>
    <w:pPr>
      <w:keepNext/>
      <w:widowControl w:val="0"/>
      <w:suppressAutoHyphens/>
      <w:overflowPunct w:val="0"/>
      <w:spacing w:before="240" w:after="120"/>
    </w:pPr>
    <w:rPr>
      <w:rFonts w:ascii="Liberation Sans" w:eastAsia="Mangal" w:hAnsi="Liberation Sans" w:cs="Mangal"/>
      <w:color w:val="00000A"/>
      <w:kern w:val="1"/>
      <w:sz w:val="28"/>
      <w:szCs w:val="24"/>
      <w:lang w:eastAsia="zh-CN" w:bidi="hi-IN"/>
    </w:rPr>
  </w:style>
  <w:style w:type="paragraph" w:customStyle="1" w:styleId="Legenda1">
    <w:name w:val="Legenda1"/>
    <w:pPr>
      <w:widowControl w:val="0"/>
      <w:suppressAutoHyphens/>
      <w:overflowPunct w:val="0"/>
      <w:spacing w:before="120" w:after="120"/>
    </w:pPr>
    <w:rPr>
      <w:rFonts w:ascii="Liberation Serif" w:eastAsia="Mangal" w:hAnsi="Liberation Serif" w:cs="Mangal"/>
      <w:i/>
      <w:color w:val="00000A"/>
      <w:kern w:val="1"/>
      <w:sz w:val="24"/>
      <w:szCs w:val="24"/>
      <w:lang w:eastAsia="zh-CN" w:bidi="hi-IN"/>
    </w:rPr>
  </w:style>
  <w:style w:type="paragraph" w:customStyle="1" w:styleId="Standard">
    <w:name w:val="Standard"/>
    <w:pPr>
      <w:suppressAutoHyphens/>
      <w:overflowPunct w:val="0"/>
      <w:spacing w:after="200" w:line="276" w:lineRule="auto"/>
    </w:pPr>
    <w:rPr>
      <w:rFonts w:ascii="Calibri" w:eastAsia="0" w:hAnsi="Calibri" w:cs="Liberation Serif"/>
      <w:color w:val="000000"/>
      <w:kern w:val="1"/>
      <w:sz w:val="22"/>
      <w:szCs w:val="24"/>
      <w:lang w:eastAsia="ar-SA" w:bidi="hi-IN"/>
    </w:rPr>
  </w:style>
  <w:style w:type="paragraph" w:customStyle="1" w:styleId="Textbody">
    <w:name w:val="Text body"/>
    <w:basedOn w:val="Standard"/>
    <w:pPr>
      <w:spacing w:after="140" w:line="288" w:lineRule="auto"/>
    </w:pPr>
  </w:style>
  <w:style w:type="paragraph" w:customStyle="1" w:styleId="Ttulo11">
    <w:name w:val="Título 11"/>
    <w:basedOn w:val="Standard"/>
    <w:pPr>
      <w:spacing w:before="280" w:after="280" w:line="240" w:lineRule="auto"/>
    </w:pPr>
    <w:rPr>
      <w:rFonts w:ascii="Times New Roman" w:eastAsia="Times New Roman" w:hAnsi="Times New Roman" w:cs="Times New Roman"/>
      <w:b/>
      <w:sz w:val="48"/>
    </w:rPr>
  </w:style>
  <w:style w:type="paragraph" w:customStyle="1" w:styleId="BalloonText1">
    <w:name w:val="Balloon Text1"/>
    <w:basedOn w:val="Standard"/>
    <w:pPr>
      <w:spacing w:after="0" w:line="240" w:lineRule="auto"/>
    </w:pPr>
    <w:rPr>
      <w:rFonts w:ascii="Tahoma" w:eastAsia="Tahoma" w:hAnsi="Tahoma" w:cs="Tahoma"/>
      <w:sz w:val="16"/>
    </w:rPr>
  </w:style>
  <w:style w:type="paragraph" w:customStyle="1" w:styleId="Cabealho1">
    <w:name w:val="Cabeçalho1"/>
    <w:basedOn w:val="Standard"/>
    <w:pPr>
      <w:tabs>
        <w:tab w:val="center" w:pos="4252"/>
        <w:tab w:val="right" w:pos="8504"/>
      </w:tabs>
      <w:spacing w:after="0" w:line="240" w:lineRule="auto"/>
    </w:pPr>
  </w:style>
  <w:style w:type="paragraph" w:customStyle="1" w:styleId="Rodap1">
    <w:name w:val="Rodapé1"/>
    <w:basedOn w:val="Standard"/>
    <w:pPr>
      <w:tabs>
        <w:tab w:val="center" w:pos="4252"/>
        <w:tab w:val="right" w:pos="8504"/>
      </w:tabs>
      <w:spacing w:after="0" w:line="240" w:lineRule="auto"/>
    </w:pPr>
  </w:style>
  <w:style w:type="paragraph" w:customStyle="1" w:styleId="yiv3548550603msonormal">
    <w:name w:val="yiv3548550603msonormal"/>
    <w:basedOn w:val="Standard"/>
    <w:pPr>
      <w:spacing w:before="280" w:after="280" w:line="240" w:lineRule="auto"/>
    </w:pPr>
    <w:rPr>
      <w:rFonts w:ascii="Times New Roman" w:eastAsia="Times New Roman" w:hAnsi="Times New Roman" w:cs="Times New Roman"/>
      <w:sz w:val="24"/>
    </w:rPr>
  </w:style>
  <w:style w:type="paragraph" w:customStyle="1" w:styleId="Cabealho2">
    <w:name w:val="Cabeçalho2"/>
    <w:basedOn w:val="Normal"/>
    <w:pPr>
      <w:tabs>
        <w:tab w:val="center" w:pos="4252"/>
        <w:tab w:val="right" w:pos="8504"/>
      </w:tabs>
    </w:pPr>
    <w:rPr>
      <w:szCs w:val="21"/>
    </w:rPr>
  </w:style>
  <w:style w:type="paragraph" w:customStyle="1" w:styleId="Rodap2">
    <w:name w:val="Rodapé2"/>
    <w:basedOn w:val="Normal"/>
    <w:pPr>
      <w:tabs>
        <w:tab w:val="center" w:pos="4252"/>
        <w:tab w:val="right" w:pos="8504"/>
      </w:tabs>
    </w:pPr>
    <w:rPr>
      <w:szCs w:val="21"/>
    </w:rPr>
  </w:style>
  <w:style w:type="paragraph" w:customStyle="1" w:styleId="yiv2149131951msonormal">
    <w:name w:val="yiv2149131951msonormal"/>
    <w:basedOn w:val="Normal"/>
    <w:pPr>
      <w:suppressAutoHyphens w:val="0"/>
      <w:spacing w:before="280" w:after="280"/>
      <w:textAlignment w:val="auto"/>
    </w:pPr>
    <w:rPr>
      <w:rFonts w:ascii="Times New Roman" w:eastAsia="Times New Roman" w:hAnsi="Times New Roman" w:cs="Times New Roman"/>
      <w:lang w:eastAsia="pt-BR" w:bidi="ar-SA"/>
    </w:rPr>
  </w:style>
  <w:style w:type="paragraph" w:styleId="Header">
    <w:name w:val="header"/>
    <w:basedOn w:val="Normal"/>
  </w:style>
  <w:style w:type="paragraph" w:styleId="Footer">
    <w:name w:val="footer"/>
    <w:basedOn w:val="Normal"/>
  </w:style>
  <w:style w:type="paragraph" w:customStyle="1" w:styleId="Contedodatabela">
    <w:name w:val="Conteúdo da tabela"/>
    <w:basedOn w:val="Normal"/>
  </w:style>
  <w:style w:type="paragraph" w:customStyle="1" w:styleId="Ttulodetabela">
    <w:name w:val="Título de tabela"/>
    <w:basedOn w:val="Contedodatabela"/>
  </w:style>
  <w:style w:type="paragraph" w:styleId="ListParagraph">
    <w:name w:val="List Paragraph"/>
    <w:basedOn w:val="Normal"/>
    <w:uiPriority w:val="34"/>
    <w:qFormat/>
    <w:rsid w:val="00C80D01"/>
    <w:pPr>
      <w:suppressAutoHyphens w:val="0"/>
      <w:overflowPunct/>
      <w:spacing w:after="200" w:line="276" w:lineRule="auto"/>
      <w:ind w:left="720"/>
      <w:contextualSpacing/>
      <w:textAlignment w:val="auto"/>
    </w:pPr>
    <w:rPr>
      <w:rFonts w:asciiTheme="minorHAnsi" w:eastAsiaTheme="minorHAnsi" w:hAnsiTheme="minorHAnsi" w:cstheme="minorBidi"/>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2373</Words>
  <Characters>13530</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Guilherme_sampaio</dc:creator>
  <cp:lastModifiedBy>Rui Aguiar</cp:lastModifiedBy>
  <cp:revision>2</cp:revision>
  <cp:lastPrinted>2017-07-26T15:19:00Z</cp:lastPrinted>
  <dcterms:created xsi:type="dcterms:W3CDTF">2018-04-03T23:45:00Z</dcterms:created>
  <dcterms:modified xsi:type="dcterms:W3CDTF">2018-04-03T23:45:00Z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